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4A" w:rsidRPr="00B92A82" w:rsidRDefault="000409DB" w:rsidP="00B92A82">
      <w:pPr>
        <w:jc w:val="center"/>
        <w:rPr>
          <w:b/>
        </w:rPr>
      </w:pPr>
      <w:r>
        <w:rPr>
          <w:b/>
        </w:rPr>
        <w:t>CMPE 138</w:t>
      </w:r>
      <w:r w:rsidR="00B92A82" w:rsidRPr="00B92A82">
        <w:rPr>
          <w:b/>
        </w:rPr>
        <w:t>0</w:t>
      </w:r>
    </w:p>
    <w:p w:rsidR="00B92A82" w:rsidRPr="00B92A82" w:rsidRDefault="00B92A82" w:rsidP="00B92A82">
      <w:pPr>
        <w:jc w:val="center"/>
        <w:rPr>
          <w:b/>
        </w:rPr>
      </w:pPr>
      <w:r w:rsidRPr="00B92A82">
        <w:rPr>
          <w:b/>
        </w:rPr>
        <w:t>Dr. Abraham</w:t>
      </w:r>
    </w:p>
    <w:p w:rsidR="00B92A82" w:rsidRDefault="00B92A82" w:rsidP="00B92A82">
      <w:pPr>
        <w:jc w:val="center"/>
        <w:rPr>
          <w:b/>
        </w:rPr>
      </w:pPr>
      <w:r w:rsidRPr="00B92A82">
        <w:rPr>
          <w:b/>
        </w:rPr>
        <w:t>Lab Assignment 3</w:t>
      </w:r>
    </w:p>
    <w:p w:rsidR="00C526E3" w:rsidRDefault="00C526E3" w:rsidP="00C526E3">
      <w:pPr>
        <w:jc w:val="center"/>
      </w:pPr>
      <w:r>
        <w:t>Dr. Abraham/</w:t>
      </w:r>
      <w:r w:rsidR="00E61CAB">
        <w:t>Bahri/Sweet</w:t>
      </w:r>
    </w:p>
    <w:p w:rsidR="00C526E3" w:rsidRDefault="00C526E3" w:rsidP="00B92A82">
      <w:pPr>
        <w:jc w:val="center"/>
        <w:rPr>
          <w:b/>
        </w:rPr>
      </w:pPr>
    </w:p>
    <w:p w:rsidR="00B74056" w:rsidRPr="00B92A82" w:rsidRDefault="00B74056" w:rsidP="00B92A82">
      <w:pPr>
        <w:jc w:val="center"/>
        <w:rPr>
          <w:b/>
        </w:rPr>
      </w:pPr>
    </w:p>
    <w:p w:rsidR="00B92A82" w:rsidRPr="00B92A82" w:rsidRDefault="00B74056" w:rsidP="00B92A82">
      <w:pPr>
        <w:jc w:val="center"/>
        <w:rPr>
          <w:b/>
        </w:rPr>
      </w:pPr>
      <w:r>
        <w:rPr>
          <w:b/>
        </w:rPr>
        <w:t xml:space="preserve">Learning Objective: </w:t>
      </w:r>
      <w:r w:rsidR="00B92A82" w:rsidRPr="00B92A82">
        <w:rPr>
          <w:b/>
        </w:rPr>
        <w:t>If Then Else</w:t>
      </w:r>
    </w:p>
    <w:p w:rsidR="00B92A82" w:rsidRPr="00B92A82" w:rsidRDefault="00B92A82" w:rsidP="00B92A82">
      <w:pPr>
        <w:jc w:val="center"/>
        <w:rPr>
          <w:b/>
        </w:rPr>
      </w:pPr>
    </w:p>
    <w:p w:rsidR="00B92A82" w:rsidRDefault="00E61CAB" w:rsidP="00B92A82">
      <w:pPr>
        <w:jc w:val="center"/>
        <w:rPr>
          <w:b/>
        </w:rPr>
      </w:pPr>
      <w:r>
        <w:rPr>
          <w:b/>
        </w:rPr>
        <w:t>Date due: February 11</w:t>
      </w:r>
      <w:r w:rsidR="008D55B0">
        <w:rPr>
          <w:b/>
        </w:rPr>
        <w:t>, 2015</w:t>
      </w:r>
      <w:bookmarkStart w:id="0" w:name="_GoBack"/>
      <w:bookmarkEnd w:id="0"/>
    </w:p>
    <w:p w:rsidR="000409DB" w:rsidRDefault="000409DB" w:rsidP="00B92A82"/>
    <w:p w:rsidR="000409DB" w:rsidRPr="00F17A04" w:rsidRDefault="000409DB" w:rsidP="000409DB">
      <w:pPr>
        <w:shd w:val="clear" w:color="auto" w:fill="FFFFFF"/>
        <w:spacing w:after="72" w:line="288" w:lineRule="atLeast"/>
        <w:outlineLvl w:val="2"/>
        <w:rPr>
          <w:rFonts w:ascii="Arial" w:hAnsi="Arial" w:cs="Arial"/>
          <w:b/>
          <w:bCs/>
          <w:color w:val="000000"/>
          <w:sz w:val="26"/>
          <w:szCs w:val="26"/>
        </w:rPr>
      </w:pPr>
      <w:r w:rsidRPr="00F17A04">
        <w:rPr>
          <w:rFonts w:ascii="Arial" w:hAnsi="Arial" w:cs="Arial"/>
          <w:b/>
          <w:bCs/>
          <w:color w:val="000000"/>
          <w:sz w:val="26"/>
          <w:szCs w:val="26"/>
        </w:rPr>
        <w:t>Flow in pipe</w:t>
      </w:r>
    </w:p>
    <w:p w:rsidR="000409DB" w:rsidRPr="00F17A04" w:rsidRDefault="000409DB" w:rsidP="000409DB">
      <w:pPr>
        <w:shd w:val="clear" w:color="auto" w:fill="FFFFFF"/>
        <w:spacing w:before="96" w:after="120" w:line="288" w:lineRule="atLeast"/>
        <w:rPr>
          <w:rFonts w:ascii="Arial" w:hAnsi="Arial" w:cs="Arial"/>
          <w:color w:val="000000"/>
          <w:sz w:val="20"/>
          <w:szCs w:val="20"/>
          <w:vertAlign w:val="superscript"/>
        </w:rPr>
      </w:pPr>
      <w:r w:rsidRPr="00F17A04">
        <w:rPr>
          <w:rFonts w:ascii="Arial" w:hAnsi="Arial" w:cs="Arial"/>
          <w:color w:val="000000"/>
          <w:sz w:val="20"/>
          <w:szCs w:val="20"/>
        </w:rPr>
        <w:t>For </w:t>
      </w:r>
      <w:hyperlink r:id="rId6" w:tooltip="Flow conditioning" w:history="1">
        <w:r w:rsidRPr="00F17A04">
          <w:rPr>
            <w:rFonts w:ascii="Arial" w:hAnsi="Arial" w:cs="Arial"/>
            <w:color w:val="0B0080"/>
            <w:sz w:val="20"/>
            <w:szCs w:val="20"/>
          </w:rPr>
          <w:t>flow in a pipe</w:t>
        </w:r>
      </w:hyperlink>
      <w:r w:rsidRPr="00F17A04">
        <w:rPr>
          <w:rFonts w:ascii="Arial" w:hAnsi="Arial" w:cs="Arial"/>
          <w:color w:val="000000"/>
          <w:sz w:val="20"/>
          <w:szCs w:val="20"/>
        </w:rPr>
        <w:t> or tube, the Reynolds number is generally defined as</w:t>
      </w:r>
      <w:proofErr w:type="gramStart"/>
      <w:r w:rsidRPr="00F17A04">
        <w:rPr>
          <w:rFonts w:ascii="Arial" w:hAnsi="Arial" w:cs="Arial"/>
          <w:color w:val="000000"/>
          <w:sz w:val="20"/>
          <w:szCs w:val="20"/>
        </w:rPr>
        <w:t>:</w:t>
      </w:r>
      <w:proofErr w:type="gramEnd"/>
      <w:r w:rsidR="00B74056">
        <w:fldChar w:fldCharType="begin"/>
      </w:r>
      <w:r w:rsidR="00B74056">
        <w:instrText xml:space="preserve"> HYPERLINK "http://en.wikipedia.org/wiki/Reynolds_number" \l "cite_note-Engineeringtoolbox-7" </w:instrText>
      </w:r>
      <w:r w:rsidR="00B74056">
        <w:fldChar w:fldCharType="separate"/>
      </w:r>
      <w:r w:rsidRPr="00F17A04">
        <w:rPr>
          <w:rFonts w:ascii="Arial" w:hAnsi="Arial" w:cs="Arial"/>
          <w:color w:val="0B0080"/>
          <w:sz w:val="20"/>
          <w:szCs w:val="20"/>
          <w:vertAlign w:val="superscript"/>
        </w:rPr>
        <w:t>[6]</w:t>
      </w:r>
      <w:r w:rsidR="00B74056">
        <w:rPr>
          <w:rFonts w:ascii="Arial" w:hAnsi="Arial" w:cs="Arial"/>
          <w:color w:val="0B0080"/>
          <w:sz w:val="20"/>
          <w:szCs w:val="20"/>
          <w:vertAlign w:val="superscript"/>
        </w:rPr>
        <w:fldChar w:fldCharType="end"/>
      </w:r>
    </w:p>
    <w:p w:rsidR="000409DB" w:rsidRPr="00F17A04" w:rsidRDefault="000409DB" w:rsidP="000409DB">
      <w:pPr>
        <w:shd w:val="clear" w:color="auto" w:fill="FFFFFF"/>
        <w:spacing w:after="24" w:line="360" w:lineRule="atLeast"/>
        <w:ind w:left="720"/>
        <w:rPr>
          <w:rFonts w:ascii="Arial" w:hAnsi="Arial" w:cs="Arial"/>
          <w:color w:val="000000"/>
          <w:sz w:val="20"/>
          <w:szCs w:val="20"/>
        </w:rPr>
      </w:pPr>
      <w:r>
        <w:rPr>
          <w:rFonts w:ascii="Arial" w:hAnsi="Arial" w:cs="Arial"/>
          <w:noProof/>
          <w:color w:val="000000"/>
          <w:sz w:val="20"/>
          <w:szCs w:val="20"/>
        </w:rPr>
        <w:drawing>
          <wp:inline distT="0" distB="0" distL="0" distR="0">
            <wp:extent cx="3419475" cy="609600"/>
            <wp:effectExtent l="0" t="0" r="9525" b="0"/>
            <wp:docPr id="20" name="Picture 10" descr=" \mathrm{Re} = {{\rho {\mathbf v} D_H} \over {\mu}} = {{{\mathbf v} D_H} \over {\nu}} = {{{\mathbf Q} D_H} \over {\n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mathrm{Re} = {{\rho {\mathbf v} D_H} \over {\mu}} = {{{\mathbf v} D_H} \over {\nu}} = {{{\mathbf Q} D_H} \over {\nu}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609600"/>
                    </a:xfrm>
                    <a:prstGeom prst="rect">
                      <a:avLst/>
                    </a:prstGeom>
                    <a:noFill/>
                    <a:ln>
                      <a:noFill/>
                    </a:ln>
                  </pic:spPr>
                </pic:pic>
              </a:graphicData>
            </a:graphic>
          </wp:inline>
        </w:drawing>
      </w:r>
    </w:p>
    <w:p w:rsidR="000409DB" w:rsidRPr="00F17A04" w:rsidRDefault="000409DB" w:rsidP="000409DB">
      <w:pPr>
        <w:shd w:val="clear" w:color="auto" w:fill="FFFFFF"/>
        <w:spacing w:before="96" w:after="120" w:line="288" w:lineRule="atLeast"/>
        <w:ind w:left="384"/>
        <w:rPr>
          <w:rFonts w:ascii="Arial" w:hAnsi="Arial" w:cs="Arial"/>
          <w:color w:val="000000"/>
          <w:sz w:val="20"/>
          <w:szCs w:val="20"/>
        </w:rPr>
      </w:pPr>
      <w:proofErr w:type="gramStart"/>
      <w:r w:rsidRPr="00F17A04">
        <w:rPr>
          <w:rFonts w:ascii="Arial" w:hAnsi="Arial" w:cs="Arial"/>
          <w:color w:val="000000"/>
          <w:sz w:val="20"/>
          <w:szCs w:val="20"/>
        </w:rPr>
        <w:t>where</w:t>
      </w:r>
      <w:proofErr w:type="gramEnd"/>
      <w:r w:rsidRPr="00F17A04">
        <w:rPr>
          <w:rFonts w:ascii="Arial" w:hAnsi="Arial" w:cs="Arial"/>
          <w:color w:val="000000"/>
          <w:sz w:val="20"/>
          <w:szCs w:val="20"/>
        </w:rPr>
        <w:t>:</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276225" cy="161925"/>
            <wp:effectExtent l="0" t="0" r="9525" b="9525"/>
            <wp:docPr id="19" name="Picture 9" descr="{D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_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w:t>
      </w:r>
      <w:hyperlink r:id="rId9" w:tooltip="Hydraulic diameter" w:history="1">
        <w:r w:rsidRPr="00F17A04">
          <w:rPr>
            <w:rFonts w:ascii="Arial" w:hAnsi="Arial" w:cs="Arial"/>
            <w:color w:val="0B0080"/>
            <w:sz w:val="20"/>
            <w:szCs w:val="20"/>
          </w:rPr>
          <w:t>hydraulic diameter</w:t>
        </w:r>
      </w:hyperlink>
      <w:r w:rsidRPr="00F17A04">
        <w:rPr>
          <w:rFonts w:ascii="Arial" w:hAnsi="Arial" w:cs="Arial"/>
          <w:color w:val="000000"/>
          <w:sz w:val="20"/>
          <w:szCs w:val="20"/>
        </w:rPr>
        <w:t> of the pipe; its characteristic travelled length, </w:t>
      </w:r>
      <w:r>
        <w:rPr>
          <w:rFonts w:ascii="Arial" w:hAnsi="Arial" w:cs="Arial"/>
          <w:noProof/>
          <w:color w:val="000000"/>
          <w:sz w:val="20"/>
          <w:szCs w:val="20"/>
        </w:rPr>
        <w:drawing>
          <wp:inline distT="0" distB="0" distL="0" distR="0">
            <wp:extent cx="123825" cy="133350"/>
            <wp:effectExtent l="0" t="0" r="9525" b="0"/>
            <wp:docPr id="18" name="Picture 8"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F17A04">
        <w:rPr>
          <w:rFonts w:ascii="Arial" w:hAnsi="Arial" w:cs="Arial"/>
          <w:color w:val="000000"/>
          <w:sz w:val="20"/>
          <w:szCs w:val="20"/>
        </w:rPr>
        <w:t>, (m).</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142875" cy="171450"/>
            <wp:effectExtent l="0" t="0" r="9525" b="0"/>
            <wp:docPr id="17" name="Picture 7" descr="{\mathbf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bf 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volumetric </w:t>
      </w:r>
      <w:hyperlink r:id="rId12" w:tooltip="Flow rate" w:history="1">
        <w:r w:rsidRPr="00F17A04">
          <w:rPr>
            <w:rFonts w:ascii="Arial" w:hAnsi="Arial" w:cs="Arial"/>
            <w:color w:val="0B0080"/>
            <w:sz w:val="20"/>
            <w:szCs w:val="20"/>
          </w:rPr>
          <w:t>flow rate</w:t>
        </w:r>
      </w:hyperlink>
      <w:r w:rsidRPr="00F17A04">
        <w:rPr>
          <w:rFonts w:ascii="Arial" w:hAnsi="Arial" w:cs="Arial"/>
          <w:color w:val="000000"/>
          <w:sz w:val="20"/>
          <w:szCs w:val="20"/>
        </w:rPr>
        <w:t> (m</w:t>
      </w:r>
      <w:r w:rsidRPr="00F17A04">
        <w:rPr>
          <w:rFonts w:ascii="Arial" w:hAnsi="Arial" w:cs="Arial"/>
          <w:color w:val="000000"/>
          <w:sz w:val="20"/>
          <w:szCs w:val="20"/>
          <w:vertAlign w:val="superscript"/>
        </w:rPr>
        <w:t>3</w:t>
      </w:r>
      <w:r w:rsidRPr="00F17A04">
        <w:rPr>
          <w:rFonts w:ascii="Arial" w:hAnsi="Arial" w:cs="Arial"/>
          <w:color w:val="000000"/>
          <w:sz w:val="20"/>
          <w:szCs w:val="20"/>
        </w:rPr>
        <w:t>/s).</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142875" cy="133350"/>
            <wp:effectExtent l="0" t="0" r="9525" b="0"/>
            <wp:docPr id="16" name="Picture 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pipe </w:t>
      </w:r>
      <w:r w:rsidRPr="00F17A04">
        <w:rPr>
          <w:rFonts w:ascii="Arial" w:hAnsi="Arial" w:cs="Arial"/>
          <w:i/>
          <w:iCs/>
          <w:color w:val="000000"/>
          <w:sz w:val="20"/>
          <w:szCs w:val="20"/>
        </w:rPr>
        <w:t>cross-sectional</w:t>
      </w:r>
      <w:r w:rsidRPr="00F17A04">
        <w:rPr>
          <w:rFonts w:ascii="Arial" w:hAnsi="Arial" w:cs="Arial"/>
          <w:color w:val="000000"/>
          <w:sz w:val="20"/>
          <w:szCs w:val="20"/>
        </w:rPr>
        <w:t> area (m²).</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114300" cy="95250"/>
            <wp:effectExtent l="0" t="0" r="0" b="0"/>
            <wp:docPr id="15" name="Picture 5" descr="{\mathbf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bf 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mean velocity of the fluid (</w:t>
      </w:r>
      <w:hyperlink r:id="rId15" w:tooltip="SI units" w:history="1">
        <w:r w:rsidRPr="00F17A04">
          <w:rPr>
            <w:rFonts w:ascii="Arial" w:hAnsi="Arial" w:cs="Arial"/>
            <w:color w:val="0B0080"/>
            <w:sz w:val="20"/>
            <w:szCs w:val="20"/>
          </w:rPr>
          <w:t>SI units</w:t>
        </w:r>
      </w:hyperlink>
      <w:r w:rsidRPr="00F17A04">
        <w:rPr>
          <w:rFonts w:ascii="Arial" w:hAnsi="Arial" w:cs="Arial"/>
          <w:color w:val="000000"/>
          <w:sz w:val="20"/>
          <w:szCs w:val="20"/>
        </w:rPr>
        <w:t>: m/s).</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114300" cy="123825"/>
            <wp:effectExtent l="0" t="0" r="0" b="9525"/>
            <wp:docPr id="14" name="Picture 4" descr="{\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w:t>
      </w:r>
      <w:hyperlink r:id="rId17" w:tooltip="Dynamic viscosity" w:history="1">
        <w:r w:rsidRPr="00F17A04">
          <w:rPr>
            <w:rFonts w:ascii="Arial" w:hAnsi="Arial" w:cs="Arial"/>
            <w:color w:val="0B0080"/>
            <w:sz w:val="20"/>
            <w:szCs w:val="20"/>
          </w:rPr>
          <w:t>dynamic viscosity</w:t>
        </w:r>
      </w:hyperlink>
      <w:r w:rsidRPr="00F17A04">
        <w:rPr>
          <w:rFonts w:ascii="Arial" w:hAnsi="Arial" w:cs="Arial"/>
          <w:color w:val="000000"/>
          <w:sz w:val="20"/>
          <w:szCs w:val="20"/>
        </w:rPr>
        <w:t> of the </w:t>
      </w:r>
      <w:hyperlink r:id="rId18" w:tooltip="Fluid" w:history="1">
        <w:r w:rsidRPr="00F17A04">
          <w:rPr>
            <w:rFonts w:ascii="Arial" w:hAnsi="Arial" w:cs="Arial"/>
            <w:color w:val="0B0080"/>
            <w:sz w:val="20"/>
            <w:szCs w:val="20"/>
          </w:rPr>
          <w:t>fluid</w:t>
        </w:r>
      </w:hyperlink>
      <w:r w:rsidRPr="00F17A04">
        <w:rPr>
          <w:rFonts w:ascii="Arial" w:hAnsi="Arial" w:cs="Arial"/>
          <w:color w:val="000000"/>
          <w:sz w:val="20"/>
          <w:szCs w:val="20"/>
        </w:rPr>
        <w:t> (</w:t>
      </w:r>
      <w:proofErr w:type="spellStart"/>
      <w:r w:rsidRPr="00F17A04">
        <w:rPr>
          <w:rFonts w:ascii="Arial" w:hAnsi="Arial" w:cs="Arial"/>
          <w:color w:val="000000"/>
          <w:sz w:val="20"/>
          <w:szCs w:val="20"/>
        </w:rPr>
        <w:t>Pa·s</w:t>
      </w:r>
      <w:proofErr w:type="spellEnd"/>
      <w:r w:rsidRPr="00F17A04">
        <w:rPr>
          <w:rFonts w:ascii="Arial" w:hAnsi="Arial" w:cs="Arial"/>
          <w:color w:val="000000"/>
          <w:sz w:val="20"/>
          <w:szCs w:val="20"/>
        </w:rPr>
        <w:t xml:space="preserve"> or N·s/m² or kg/(</w:t>
      </w:r>
      <w:proofErr w:type="spellStart"/>
      <w:r w:rsidRPr="00F17A04">
        <w:rPr>
          <w:rFonts w:ascii="Arial" w:hAnsi="Arial" w:cs="Arial"/>
          <w:color w:val="000000"/>
          <w:sz w:val="20"/>
          <w:szCs w:val="20"/>
        </w:rPr>
        <w:t>m·s</w:t>
      </w:r>
      <w:proofErr w:type="spellEnd"/>
      <w:r w:rsidRPr="00F17A04">
        <w:rPr>
          <w:rFonts w:ascii="Arial" w:hAnsi="Arial" w:cs="Arial"/>
          <w:color w:val="000000"/>
          <w:sz w:val="20"/>
          <w:szCs w:val="20"/>
        </w:rPr>
        <w:t>)).</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95250" cy="85725"/>
            <wp:effectExtent l="0" t="0" r="0" b="9525"/>
            <wp:docPr id="13" name="Picture 3" descr="{\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w:t>
      </w:r>
      <w:hyperlink r:id="rId20" w:tooltip="Kinematic viscosity" w:history="1">
        <w:r w:rsidRPr="00F17A04">
          <w:rPr>
            <w:rFonts w:ascii="Arial" w:hAnsi="Arial" w:cs="Arial"/>
            <w:color w:val="0B0080"/>
            <w:sz w:val="20"/>
            <w:szCs w:val="20"/>
          </w:rPr>
          <w:t>kinematic viscosity</w:t>
        </w:r>
      </w:hyperlink>
      <w:r w:rsidRPr="00F17A04">
        <w:rPr>
          <w:rFonts w:ascii="Arial" w:hAnsi="Arial" w:cs="Arial"/>
          <w:color w:val="000000"/>
          <w:sz w:val="20"/>
          <w:szCs w:val="20"/>
        </w:rPr>
        <w:t> (</w:t>
      </w:r>
      <w:r>
        <w:rPr>
          <w:rFonts w:ascii="Arial" w:hAnsi="Arial" w:cs="Arial"/>
          <w:noProof/>
          <w:color w:val="000000"/>
          <w:sz w:val="20"/>
          <w:szCs w:val="20"/>
        </w:rPr>
        <w:drawing>
          <wp:inline distT="0" distB="0" distL="0" distR="0">
            <wp:extent cx="714375" cy="200025"/>
            <wp:effectExtent l="0" t="0" r="9525" b="9525"/>
            <wp:docPr id="12" name="Picture 2" descr="\nu = \mu /{\r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 = \mu /{\rh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Pr="00F17A04">
        <w:rPr>
          <w:rFonts w:ascii="Arial" w:hAnsi="Arial" w:cs="Arial"/>
          <w:color w:val="000000"/>
          <w:sz w:val="20"/>
          <w:szCs w:val="20"/>
        </w:rPr>
        <w:t> (m²/s).</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95250" cy="123825"/>
            <wp:effectExtent l="0" t="0" r="0" b="9525"/>
            <wp:docPr id="11" name="Picture 1" descr="{\r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w:t>
      </w:r>
      <w:hyperlink r:id="rId23" w:tooltip="Density" w:history="1">
        <w:r w:rsidRPr="00F17A04">
          <w:rPr>
            <w:rFonts w:ascii="Arial" w:hAnsi="Arial" w:cs="Arial"/>
            <w:color w:val="0B0080"/>
            <w:sz w:val="20"/>
            <w:szCs w:val="20"/>
          </w:rPr>
          <w:t>density</w:t>
        </w:r>
      </w:hyperlink>
      <w:r w:rsidRPr="00F17A04">
        <w:rPr>
          <w:rFonts w:ascii="Arial" w:hAnsi="Arial" w:cs="Arial"/>
          <w:color w:val="000000"/>
          <w:sz w:val="20"/>
          <w:szCs w:val="20"/>
        </w:rPr>
        <w:t> of the fluid (kg/m³).</w:t>
      </w:r>
    </w:p>
    <w:p w:rsidR="000409DB" w:rsidRDefault="000409DB" w:rsidP="00B92A82"/>
    <w:p w:rsidR="00B92A82" w:rsidRPr="00B92A82" w:rsidRDefault="00B92A82" w:rsidP="00B92A82">
      <w:r w:rsidRPr="00B92A82">
        <w:t xml:space="preserve">Ref: Assignment taken from </w:t>
      </w:r>
      <w:proofErr w:type="spellStart"/>
      <w:r w:rsidRPr="00B92A82">
        <w:t>Nyhoff</w:t>
      </w:r>
      <w:proofErr w:type="spellEnd"/>
      <w:r w:rsidRPr="00B92A82">
        <w:t xml:space="preserve"> and </w:t>
      </w:r>
      <w:proofErr w:type="spellStart"/>
      <w:r w:rsidRPr="00B92A82">
        <w:t>Leestma</w:t>
      </w:r>
      <w:proofErr w:type="spellEnd"/>
      <w:r w:rsidRPr="00B92A82">
        <w:t>.</w:t>
      </w:r>
    </w:p>
    <w:p w:rsidR="00B92A82" w:rsidRDefault="00B92A82" w:rsidP="00B92A82">
      <w:pPr>
        <w:rPr>
          <w:b/>
        </w:rPr>
      </w:pPr>
    </w:p>
    <w:p w:rsidR="00B92A82" w:rsidRDefault="00B92A82" w:rsidP="00B92A82">
      <w:pPr>
        <w:rPr>
          <w:b/>
        </w:rPr>
      </w:pPr>
      <w:r>
        <w:rPr>
          <w:b/>
        </w:rPr>
        <w:t xml:space="preserve">Write a program to compute the flow of fluid through a pipe is </w:t>
      </w:r>
      <w:proofErr w:type="gramStart"/>
      <w:r>
        <w:rPr>
          <w:b/>
        </w:rPr>
        <w:t>either laminar</w:t>
      </w:r>
      <w:proofErr w:type="gramEnd"/>
      <w:r>
        <w:rPr>
          <w:b/>
        </w:rPr>
        <w:t>, turbulent or unstable.</w:t>
      </w:r>
    </w:p>
    <w:p w:rsidR="00B92A82" w:rsidRDefault="00B92A82" w:rsidP="00B92A82">
      <w:pPr>
        <w:rPr>
          <w:b/>
        </w:rPr>
      </w:pPr>
    </w:p>
    <w:p w:rsidR="00B92A82" w:rsidRDefault="00B92A82" w:rsidP="00B92A82">
      <w:r>
        <w:rPr>
          <w:b/>
        </w:rPr>
        <w:t xml:space="preserve">Explanation: </w:t>
      </w:r>
      <w:r>
        <w:t xml:space="preserve">The flow of fluid through a pipe is either laminar, turbulent or unstable (switches between the two), depending on certain characteristics of the flow and the pipe.  In laminar flow the fluid travels the pipe in concentric layers called laminae, with little mixing between the layers.  Turbulent flow is much less structures with considerable mixing.  </w:t>
      </w:r>
    </w:p>
    <w:p w:rsidR="00B92A82" w:rsidRDefault="00B92A82" w:rsidP="00B92A82">
      <w:r>
        <w:t>Experiments have shown that a combination of four factors determines the type of flow.  This combination is referred to as the Reynold’s number, the formula is given below:</w:t>
      </w:r>
    </w:p>
    <w:p w:rsidR="00B92A82" w:rsidRDefault="00B92A82" w:rsidP="00B92A82"/>
    <w:p w:rsidR="00B92A82" w:rsidRDefault="00B92A82" w:rsidP="00B92A82">
      <w:r>
        <w:t>Reynold’s Number = (density x velocity x diameter) / viscosity.</w:t>
      </w:r>
    </w:p>
    <w:p w:rsidR="00B92A82" w:rsidRDefault="00B92A82" w:rsidP="00B92A82"/>
    <w:p w:rsidR="00B92A82" w:rsidRDefault="00B92A82" w:rsidP="00B92A82">
      <w:pPr>
        <w:rPr>
          <w:lang w:val="en"/>
        </w:rPr>
      </w:pPr>
      <w:r>
        <w:t>Once the Reynold’s number is c</w:t>
      </w:r>
      <w:r w:rsidR="007B5D2A">
        <w:t>alculated, we can apply the cut</w:t>
      </w:r>
      <w:r>
        <w:t>off values</w:t>
      </w:r>
      <w:r w:rsidR="007B5D2A">
        <w:t xml:space="preserve"> to determine if the flow is turbulent or laminar. </w:t>
      </w:r>
      <w:r w:rsidR="007B5D2A">
        <w:rPr>
          <w:lang w:val="en"/>
        </w:rPr>
        <w:t xml:space="preserve">within circular pipes the critical Reynolds number is generally accepted to be 2300, where the Reynolds number is based on the pipe diameter </w:t>
      </w:r>
      <w:r w:rsidR="007B5D2A">
        <w:rPr>
          <w:lang w:val="en"/>
        </w:rPr>
        <w:lastRenderedPageBreak/>
        <w:t xml:space="preserve">and the mean velocity </w:t>
      </w:r>
      <w:r w:rsidR="007B5D2A">
        <w:rPr>
          <w:i/>
          <w:iCs/>
          <w:lang w:val="en"/>
        </w:rPr>
        <w:t>v</w:t>
      </w:r>
      <w:r w:rsidR="007B5D2A">
        <w:rPr>
          <w:vertAlign w:val="subscript"/>
          <w:lang w:val="en"/>
        </w:rPr>
        <w:t>s</w:t>
      </w:r>
      <w:r w:rsidR="007B5D2A">
        <w:rPr>
          <w:lang w:val="en"/>
        </w:rPr>
        <w:t xml:space="preserve"> within the pipe, but many engineers will avoid any pipe configuration that falls within the range of Reynolds numbers from about 2000 to 3000 to ensure that the flow is either laminar or turbulent.  So, we will apply the low cutoff value of 2000 and a high cutoff value of 3000.  </w:t>
      </w:r>
    </w:p>
    <w:p w:rsidR="007B5D2A" w:rsidRDefault="007B5D2A" w:rsidP="00B92A82">
      <w:pPr>
        <w:rPr>
          <w:lang w:val="en"/>
        </w:rPr>
      </w:pPr>
    </w:p>
    <w:p w:rsidR="007B5D2A" w:rsidRDefault="007B5D2A" w:rsidP="00B92A82">
      <w:pPr>
        <w:rPr>
          <w:lang w:val="en"/>
        </w:rPr>
      </w:pPr>
      <w:r>
        <w:rPr>
          <w:lang w:val="en"/>
        </w:rPr>
        <w:t>If the Reynold’s number is less than the low cutoff value then the program will display “Flow is laminar”.  If the number is greater than the high cutoff value then the program will display “Flow is turbulent”.  I</w:t>
      </w:r>
      <w:r w:rsidR="00874134">
        <w:rPr>
          <w:lang w:val="en"/>
        </w:rPr>
        <w:t>f the number falls between the cutoff values then it will display “Flow is unstable.”</w:t>
      </w:r>
    </w:p>
    <w:p w:rsidR="00874134" w:rsidRDefault="00874134" w:rsidP="00B92A82">
      <w:pPr>
        <w:rPr>
          <w:lang w:val="en"/>
        </w:rPr>
      </w:pPr>
    </w:p>
    <w:p w:rsidR="00874134" w:rsidRDefault="00874134" w:rsidP="00B92A82">
      <w:pPr>
        <w:rPr>
          <w:lang w:val="en"/>
        </w:rPr>
      </w:pPr>
      <w:r>
        <w:rPr>
          <w:lang w:val="en"/>
        </w:rPr>
        <w:t>A good program should first calculate density, velocity and diameter from known values.  However, for this program the user will directly input the density, velocity and diameter.</w:t>
      </w:r>
    </w:p>
    <w:p w:rsidR="00874134" w:rsidRDefault="00874134" w:rsidP="00B92A82">
      <w:pPr>
        <w:rPr>
          <w:lang w:val="en"/>
        </w:rPr>
      </w:pPr>
    </w:p>
    <w:p w:rsidR="00874134" w:rsidRDefault="00DE342F" w:rsidP="00B92A82">
      <w:pPr>
        <w:rPr>
          <w:lang w:val="en"/>
        </w:rPr>
      </w:pPr>
      <w:r>
        <w:rPr>
          <w:lang w:val="en"/>
        </w:rPr>
        <w:t>Here is an example of the program run:</w:t>
      </w:r>
    </w:p>
    <w:p w:rsidR="00DE342F" w:rsidRDefault="00DE342F" w:rsidP="00B92A82">
      <w:pPr>
        <w:rPr>
          <w:lang w:val="en"/>
        </w:rPr>
      </w:pPr>
    </w:p>
    <w:tbl>
      <w:tblPr>
        <w:tblStyle w:val="TableGrid"/>
        <w:tblW w:w="0" w:type="auto"/>
        <w:tblLook w:val="01E0" w:firstRow="1" w:lastRow="1" w:firstColumn="1" w:lastColumn="1" w:noHBand="0" w:noVBand="0"/>
      </w:tblPr>
      <w:tblGrid>
        <w:gridCol w:w="8856"/>
      </w:tblGrid>
      <w:tr w:rsidR="00DE342F" w:rsidTr="00DE342F">
        <w:tc>
          <w:tcPr>
            <w:tcW w:w="8856" w:type="dxa"/>
          </w:tcPr>
          <w:p w:rsidR="00DE342F" w:rsidRDefault="00DE342F" w:rsidP="00DE342F">
            <w:r>
              <w:t>Enter the density of the fluid: 1.0</w:t>
            </w:r>
          </w:p>
          <w:p w:rsidR="00DE342F" w:rsidRDefault="00DE342F" w:rsidP="00DE342F">
            <w:r>
              <w:t xml:space="preserve">Enter the </w:t>
            </w:r>
            <w:proofErr w:type="spellStart"/>
            <w:r>
              <w:t>viscocity</w:t>
            </w:r>
            <w:proofErr w:type="spellEnd"/>
            <w:r>
              <w:t xml:space="preserve"> of the fluid: 0.0125</w:t>
            </w:r>
          </w:p>
          <w:p w:rsidR="00DE342F" w:rsidRDefault="00DE342F" w:rsidP="00DE342F">
            <w:r>
              <w:t>Enter the average forward velocity of the fluid: 10.0</w:t>
            </w:r>
          </w:p>
          <w:p w:rsidR="00DE342F" w:rsidRDefault="00DE342F" w:rsidP="00DE342F">
            <w:r>
              <w:t>Enter the diameter of the pipe: 1.0</w:t>
            </w:r>
          </w:p>
          <w:p w:rsidR="00DE342F" w:rsidRDefault="00DE342F" w:rsidP="00DE342F">
            <w:r>
              <w:t xml:space="preserve">For the values entered, the Reynold' number </w:t>
            </w:r>
            <w:proofErr w:type="spellStart"/>
            <w:r>
              <w:t>calcualted</w:t>
            </w:r>
            <w:proofErr w:type="spellEnd"/>
            <w:r>
              <w:t xml:space="preserve"> is: 800</w:t>
            </w:r>
          </w:p>
          <w:p w:rsidR="00DE342F" w:rsidRDefault="00DE342F" w:rsidP="00DE342F">
            <w:r>
              <w:t>Flow is Laminar</w:t>
            </w:r>
          </w:p>
          <w:p w:rsidR="00DE342F" w:rsidRDefault="00DE342F" w:rsidP="00DE342F"/>
          <w:p w:rsidR="00DE342F" w:rsidRDefault="00DE342F" w:rsidP="00DE342F">
            <w:r>
              <w:t>Enter the density of the fluid: 1.2</w:t>
            </w:r>
          </w:p>
          <w:p w:rsidR="00DE342F" w:rsidRDefault="00DE342F" w:rsidP="00DE342F">
            <w:r>
              <w:t xml:space="preserve">Enter the </w:t>
            </w:r>
            <w:proofErr w:type="spellStart"/>
            <w:r>
              <w:t>viscocity</w:t>
            </w:r>
            <w:proofErr w:type="spellEnd"/>
            <w:r>
              <w:t xml:space="preserve"> of the fluid: 0.013</w:t>
            </w:r>
          </w:p>
          <w:p w:rsidR="00DE342F" w:rsidRDefault="00DE342F" w:rsidP="00DE342F">
            <w:r>
              <w:t>Enter the average forward velocity of the fluid: 35</w:t>
            </w:r>
          </w:p>
          <w:p w:rsidR="00DE342F" w:rsidRDefault="00DE342F" w:rsidP="00DE342F">
            <w:r>
              <w:t>Enter the diameter of the pipe: 1.1</w:t>
            </w:r>
          </w:p>
          <w:p w:rsidR="00DE342F" w:rsidRDefault="00DE342F" w:rsidP="00DE342F">
            <w:r>
              <w:t xml:space="preserve">For the values entered, the Reynold' number </w:t>
            </w:r>
            <w:proofErr w:type="spellStart"/>
            <w:r>
              <w:t>calcualted</w:t>
            </w:r>
            <w:proofErr w:type="spellEnd"/>
            <w:r>
              <w:t xml:space="preserve"> is: 3553.85</w:t>
            </w:r>
          </w:p>
          <w:p w:rsidR="00DE342F" w:rsidRDefault="00DE342F" w:rsidP="00DE342F">
            <w:r>
              <w:t>Flow is turbulent</w:t>
            </w:r>
          </w:p>
          <w:p w:rsidR="00DE342F" w:rsidRDefault="00DE342F" w:rsidP="00DE342F"/>
          <w:p w:rsidR="00DE342F" w:rsidRDefault="00DE342F" w:rsidP="00DE342F"/>
          <w:p w:rsidR="00DE342F" w:rsidRDefault="00DE342F" w:rsidP="00DE342F">
            <w:r>
              <w:t>Enter the density of the fluid: 1.0</w:t>
            </w:r>
          </w:p>
          <w:p w:rsidR="00DE342F" w:rsidRDefault="00DE342F" w:rsidP="00DE342F">
            <w:r>
              <w:t xml:space="preserve">Enter the </w:t>
            </w:r>
            <w:proofErr w:type="spellStart"/>
            <w:r>
              <w:t>viscocity</w:t>
            </w:r>
            <w:proofErr w:type="spellEnd"/>
            <w:r>
              <w:t xml:space="preserve"> of the fluid: 0.0125</w:t>
            </w:r>
          </w:p>
          <w:p w:rsidR="00DE342F" w:rsidRDefault="00DE342F" w:rsidP="00DE342F">
            <w:r>
              <w:t>Enter the average forward velocity of the fluid: 30</w:t>
            </w:r>
          </w:p>
          <w:p w:rsidR="00DE342F" w:rsidRDefault="00DE342F" w:rsidP="00DE342F">
            <w:r>
              <w:t>Enter the diameter of the pipe: 1.0</w:t>
            </w:r>
          </w:p>
          <w:p w:rsidR="00DE342F" w:rsidRDefault="00DE342F" w:rsidP="00DE342F">
            <w:r>
              <w:t xml:space="preserve">For the values entered, the Reynold' number </w:t>
            </w:r>
            <w:proofErr w:type="spellStart"/>
            <w:r>
              <w:t>calcualted</w:t>
            </w:r>
            <w:proofErr w:type="spellEnd"/>
            <w:r>
              <w:t xml:space="preserve"> is: 2400</w:t>
            </w:r>
          </w:p>
          <w:p w:rsidR="00DE342F" w:rsidRDefault="00DE342F" w:rsidP="00DE342F">
            <w:r>
              <w:t>Flow is unstable</w:t>
            </w:r>
          </w:p>
        </w:tc>
      </w:tr>
    </w:tbl>
    <w:p w:rsidR="00DE342F" w:rsidRPr="00B92A82" w:rsidRDefault="00DE342F" w:rsidP="00B92A82"/>
    <w:sectPr w:rsidR="00DE342F" w:rsidRPr="00B92A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7B2"/>
    <w:multiLevelType w:val="multilevel"/>
    <w:tmpl w:val="AA5AEA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82"/>
    <w:rsid w:val="000409DB"/>
    <w:rsid w:val="007B5D2A"/>
    <w:rsid w:val="00874134"/>
    <w:rsid w:val="008D55B0"/>
    <w:rsid w:val="00A143F3"/>
    <w:rsid w:val="00B74056"/>
    <w:rsid w:val="00B92A82"/>
    <w:rsid w:val="00C526E3"/>
    <w:rsid w:val="00CE0F4A"/>
    <w:rsid w:val="00DE342F"/>
    <w:rsid w:val="00E6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3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74056"/>
    <w:rPr>
      <w:rFonts w:ascii="Tahoma" w:hAnsi="Tahoma" w:cs="Tahoma"/>
      <w:sz w:val="16"/>
      <w:szCs w:val="16"/>
    </w:rPr>
  </w:style>
  <w:style w:type="character" w:customStyle="1" w:styleId="BalloonTextChar">
    <w:name w:val="Balloon Text Char"/>
    <w:basedOn w:val="DefaultParagraphFont"/>
    <w:link w:val="BalloonText"/>
    <w:rsid w:val="00B740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3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74056"/>
    <w:rPr>
      <w:rFonts w:ascii="Tahoma" w:hAnsi="Tahoma" w:cs="Tahoma"/>
      <w:sz w:val="16"/>
      <w:szCs w:val="16"/>
    </w:rPr>
  </w:style>
  <w:style w:type="character" w:customStyle="1" w:styleId="BalloonTextChar">
    <w:name w:val="Balloon Text Char"/>
    <w:basedOn w:val="DefaultParagraphFont"/>
    <w:link w:val="BalloonText"/>
    <w:rsid w:val="00B74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en.wikipedia.org/wiki/Fluid" TargetMode="Externa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en.wikipedia.org/wiki/Flow_rate" TargetMode="External"/><Relationship Id="rId17" Type="http://schemas.openxmlformats.org/officeDocument/2006/relationships/hyperlink" Target="http://en.wikipedia.org/wiki/Dynamic_viscosi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en.wikipedia.org/wiki/Kinematic_viscosity" TargetMode="External"/><Relationship Id="rId1" Type="http://schemas.openxmlformats.org/officeDocument/2006/relationships/numbering" Target="numbering.xml"/><Relationship Id="rId6" Type="http://schemas.openxmlformats.org/officeDocument/2006/relationships/hyperlink" Target="http://en.wikipedia.org/wiki/Flow_conditioning"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SI_units" TargetMode="External"/><Relationship Id="rId23" Type="http://schemas.openxmlformats.org/officeDocument/2006/relationships/hyperlink" Target="http://en.wikipedia.org/wiki/Density"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en.wikipedia.org/wiki/Hydraulic_diameter" TargetMode="External"/><Relationship Id="rId14" Type="http://schemas.openxmlformats.org/officeDocument/2006/relationships/image" Target="media/image6.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CMPE 1370</vt:lpstr>
    </vt:vector>
  </TitlesOfParts>
  <Company>UTPA</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CMPE 1370</dc:title>
  <dc:creator>abraham</dc:creator>
  <cp:lastModifiedBy>John Abraham</cp:lastModifiedBy>
  <cp:revision>3</cp:revision>
  <dcterms:created xsi:type="dcterms:W3CDTF">2015-02-03T18:57:00Z</dcterms:created>
  <dcterms:modified xsi:type="dcterms:W3CDTF">2015-02-10T16:25:00Z</dcterms:modified>
</cp:coreProperties>
</file>