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4743" w14:textId="77777777" w:rsidR="007B46F4" w:rsidRDefault="00480CC8">
      <w:pPr>
        <w:pStyle w:val="Heading1"/>
        <w:ind w:left="2310"/>
      </w:pPr>
      <w:r>
        <w:t>School of Mathematical and Statistical Sciences Bylaws</w:t>
      </w:r>
    </w:p>
    <w:p w14:paraId="7F0A80B8" w14:textId="77777777" w:rsidR="007B46F4" w:rsidRDefault="00480CC8">
      <w:pPr>
        <w:spacing w:before="181"/>
        <w:ind w:left="140"/>
        <w:rPr>
          <w:b/>
        </w:rPr>
      </w:pPr>
      <w:r>
        <w:rPr>
          <w:b/>
        </w:rPr>
        <w:t>POLICY 01: DEFINITION OF THE SCHOOL OF MATHEMATICAL AND STATISTICAL SCIENCES</w:t>
      </w:r>
    </w:p>
    <w:p w14:paraId="50F91990" w14:textId="77777777" w:rsidR="007B46F4" w:rsidRDefault="00480CC8">
      <w:pPr>
        <w:pStyle w:val="ListParagraph"/>
        <w:numPr>
          <w:ilvl w:val="0"/>
          <w:numId w:val="1"/>
        </w:numPr>
        <w:tabs>
          <w:tab w:val="left" w:pos="861"/>
        </w:tabs>
        <w:spacing w:before="182" w:line="259" w:lineRule="auto"/>
        <w:ind w:right="149"/>
      </w:pPr>
      <w:r>
        <w:t xml:space="preserve">The School of Mathematical and Statistical Sciences is an academic unit of the College of Sciences at the University of Texas • Rio Grande Valley. The authority of the School Faculty and the School Director, as stated herein, shall be exercised within the framework and limitations of the relevant statutes of the State of Texas </w:t>
      </w:r>
      <w:r>
        <w:rPr>
          <w:vertAlign w:val="superscript"/>
        </w:rPr>
        <w:t>1</w:t>
      </w:r>
      <w:r>
        <w:t>, the Regents' Rules and Regulations of the</w:t>
      </w:r>
      <w:r>
        <w:rPr>
          <w:spacing w:val="-24"/>
        </w:rPr>
        <w:t xml:space="preserve"> </w:t>
      </w:r>
      <w:r>
        <w:t xml:space="preserve">University of Texas System </w:t>
      </w:r>
      <w:r>
        <w:rPr>
          <w:vertAlign w:val="superscript"/>
        </w:rPr>
        <w:t>2</w:t>
      </w:r>
      <w:r>
        <w:t xml:space="preserve">, University of Texas System Policies </w:t>
      </w:r>
      <w:r>
        <w:rPr>
          <w:vertAlign w:val="superscript"/>
        </w:rPr>
        <w:t>3</w:t>
      </w:r>
      <w:r>
        <w:t>, and the Handbook of Operating Procedures of the University of Texas Rio Grande Valley</w:t>
      </w:r>
      <w:r>
        <w:rPr>
          <w:spacing w:val="-8"/>
        </w:rPr>
        <w:t xml:space="preserve"> </w:t>
      </w:r>
      <w:r>
        <w:rPr>
          <w:vertAlign w:val="superscript"/>
        </w:rPr>
        <w:t>4</w:t>
      </w:r>
      <w:r>
        <w:t>.</w:t>
      </w:r>
    </w:p>
    <w:p w14:paraId="7F5699ED" w14:textId="77777777" w:rsidR="007B46F4" w:rsidRDefault="00480CC8">
      <w:pPr>
        <w:pStyle w:val="ListParagraph"/>
        <w:numPr>
          <w:ilvl w:val="0"/>
          <w:numId w:val="1"/>
        </w:numPr>
        <w:tabs>
          <w:tab w:val="left" w:pos="861"/>
        </w:tabs>
        <w:spacing w:line="259" w:lineRule="auto"/>
        <w:ind w:right="340"/>
      </w:pPr>
      <w:commentRangeStart w:id="0"/>
      <w:commentRangeStart w:id="1"/>
      <w:commentRangeStart w:id="2"/>
      <w:r>
        <w:t>Membership in the School of Mathematical and Statistical Sciences is a necessary requirement for participation in School Committees and for voting in school-related</w:t>
      </w:r>
      <w:r>
        <w:rPr>
          <w:spacing w:val="-13"/>
        </w:rPr>
        <w:t xml:space="preserve"> </w:t>
      </w:r>
      <w:r>
        <w:t>business.</w:t>
      </w:r>
      <w:commentRangeEnd w:id="0"/>
      <w:r w:rsidR="00DC75E4">
        <w:rPr>
          <w:rStyle w:val="CommentReference"/>
        </w:rPr>
        <w:commentReference w:id="0"/>
      </w:r>
      <w:commentRangeEnd w:id="1"/>
      <w:r w:rsidR="00054EAE">
        <w:rPr>
          <w:rStyle w:val="CommentReference"/>
        </w:rPr>
        <w:commentReference w:id="1"/>
      </w:r>
      <w:commentRangeEnd w:id="2"/>
      <w:r w:rsidR="00054EAE">
        <w:rPr>
          <w:rStyle w:val="CommentReference"/>
        </w:rPr>
        <w:commentReference w:id="2"/>
      </w:r>
    </w:p>
    <w:p w14:paraId="385C1987" w14:textId="77777777" w:rsidR="007B46F4" w:rsidRDefault="00480CC8">
      <w:pPr>
        <w:pStyle w:val="ListParagraph"/>
        <w:numPr>
          <w:ilvl w:val="0"/>
          <w:numId w:val="1"/>
        </w:numPr>
        <w:tabs>
          <w:tab w:val="left" w:pos="861"/>
        </w:tabs>
      </w:pPr>
      <w:r>
        <w:t>The membership in the School of Mathematical and Statistical Sciences consists</w:t>
      </w:r>
      <w:r>
        <w:rPr>
          <w:spacing w:val="-14"/>
        </w:rPr>
        <w:t xml:space="preserve"> </w:t>
      </w:r>
      <w:r>
        <w:t>of:</w:t>
      </w:r>
    </w:p>
    <w:p w14:paraId="404C1068" w14:textId="77777777" w:rsidR="007B46F4" w:rsidRDefault="00480CC8">
      <w:pPr>
        <w:pStyle w:val="ListParagraph"/>
        <w:numPr>
          <w:ilvl w:val="1"/>
          <w:numId w:val="1"/>
        </w:numPr>
        <w:tabs>
          <w:tab w:val="left" w:pos="1221"/>
        </w:tabs>
        <w:spacing w:before="20" w:line="259" w:lineRule="auto"/>
        <w:ind w:right="158"/>
      </w:pPr>
      <w:r>
        <w:t>Tenured and Tenure-Track faculty at the ranks of Assistant Professor, Associate Professor, and Full Professor, including Tenured and Tenure-Track Faculty members with at least a 50% appointment in the School of Mathematical and Statistical Sciences and if the faculty member's tenure or tenure-track status is in the School of Mathematical and Statistical Sciences,</w:t>
      </w:r>
    </w:p>
    <w:p w14:paraId="411E40BF" w14:textId="77777777" w:rsidR="007B46F4" w:rsidRDefault="00480CC8">
      <w:pPr>
        <w:pStyle w:val="ListParagraph"/>
        <w:numPr>
          <w:ilvl w:val="1"/>
          <w:numId w:val="1"/>
        </w:numPr>
        <w:tabs>
          <w:tab w:val="left" w:pos="1221"/>
        </w:tabs>
        <w:spacing w:line="266" w:lineRule="exact"/>
      </w:pPr>
      <w:commentRangeStart w:id="3"/>
      <w:commentRangeStart w:id="4"/>
      <w:r>
        <w:t>Three-Year Lecturers I, II, and III (full-time) and Senior</w:t>
      </w:r>
      <w:r>
        <w:rPr>
          <w:spacing w:val="-11"/>
        </w:rPr>
        <w:t xml:space="preserve"> </w:t>
      </w:r>
      <w:r>
        <w:t>Lecturers,</w:t>
      </w:r>
    </w:p>
    <w:p w14:paraId="40A6A67E" w14:textId="77777777" w:rsidR="007B46F4" w:rsidRDefault="00480CC8">
      <w:pPr>
        <w:pStyle w:val="ListParagraph"/>
        <w:numPr>
          <w:ilvl w:val="1"/>
          <w:numId w:val="1"/>
        </w:numPr>
        <w:tabs>
          <w:tab w:val="left" w:pos="1220"/>
          <w:tab w:val="left" w:pos="1221"/>
        </w:tabs>
        <w:spacing w:before="22"/>
      </w:pPr>
      <w:r>
        <w:t>One-Year Lecturers (full-time),</w:t>
      </w:r>
      <w:r>
        <w:rPr>
          <w:spacing w:val="-9"/>
        </w:rPr>
        <w:t xml:space="preserve"> </w:t>
      </w:r>
      <w:r>
        <w:t>and</w:t>
      </w:r>
    </w:p>
    <w:p w14:paraId="544E1813" w14:textId="77777777" w:rsidR="007B46F4" w:rsidRDefault="00480CC8">
      <w:pPr>
        <w:pStyle w:val="ListParagraph"/>
        <w:numPr>
          <w:ilvl w:val="1"/>
          <w:numId w:val="1"/>
        </w:numPr>
        <w:tabs>
          <w:tab w:val="left" w:pos="1221"/>
        </w:tabs>
        <w:spacing w:before="22"/>
      </w:pPr>
      <w:r>
        <w:t>Part-Time Adjuncts</w:t>
      </w:r>
      <w:r>
        <w:rPr>
          <w:spacing w:val="-1"/>
        </w:rPr>
        <w:t xml:space="preserve"> </w:t>
      </w:r>
      <w:r>
        <w:t>(part-time).</w:t>
      </w:r>
      <w:commentRangeEnd w:id="3"/>
      <w:r w:rsidR="00DC75E4">
        <w:rPr>
          <w:rStyle w:val="CommentReference"/>
        </w:rPr>
        <w:commentReference w:id="3"/>
      </w:r>
      <w:commentRangeEnd w:id="4"/>
      <w:r w:rsidR="00054EAE">
        <w:rPr>
          <w:rStyle w:val="CommentReference"/>
        </w:rPr>
        <w:commentReference w:id="4"/>
      </w:r>
    </w:p>
    <w:p w14:paraId="52FE64BF" w14:textId="77777777" w:rsidR="007B46F4" w:rsidRDefault="007B46F4">
      <w:pPr>
        <w:pStyle w:val="BodyText"/>
        <w:rPr>
          <w:sz w:val="20"/>
        </w:rPr>
      </w:pPr>
      <w:bookmarkStart w:id="5" w:name="_GoBack"/>
      <w:bookmarkEnd w:id="5"/>
    </w:p>
    <w:p w14:paraId="046BD70C" w14:textId="77777777" w:rsidR="007B46F4" w:rsidRDefault="007B46F4">
      <w:pPr>
        <w:pStyle w:val="BodyText"/>
        <w:rPr>
          <w:sz w:val="20"/>
        </w:rPr>
      </w:pPr>
    </w:p>
    <w:p w14:paraId="38258ACD" w14:textId="77777777" w:rsidR="007B46F4" w:rsidRDefault="007B46F4">
      <w:pPr>
        <w:pStyle w:val="BodyText"/>
        <w:rPr>
          <w:sz w:val="20"/>
        </w:rPr>
      </w:pPr>
    </w:p>
    <w:p w14:paraId="134AB118" w14:textId="77777777" w:rsidR="007B46F4" w:rsidRDefault="007B46F4">
      <w:pPr>
        <w:pStyle w:val="BodyText"/>
        <w:rPr>
          <w:sz w:val="20"/>
        </w:rPr>
      </w:pPr>
    </w:p>
    <w:p w14:paraId="3378984C" w14:textId="77777777" w:rsidR="007B46F4" w:rsidRDefault="007B46F4">
      <w:pPr>
        <w:pStyle w:val="BodyText"/>
        <w:rPr>
          <w:sz w:val="20"/>
        </w:rPr>
      </w:pPr>
    </w:p>
    <w:p w14:paraId="34776664" w14:textId="77777777" w:rsidR="007B46F4" w:rsidRDefault="007B46F4">
      <w:pPr>
        <w:pStyle w:val="BodyText"/>
        <w:rPr>
          <w:sz w:val="20"/>
        </w:rPr>
      </w:pPr>
    </w:p>
    <w:p w14:paraId="639FC871" w14:textId="77777777" w:rsidR="007B46F4" w:rsidRDefault="007B46F4">
      <w:pPr>
        <w:pStyle w:val="BodyText"/>
        <w:rPr>
          <w:sz w:val="20"/>
        </w:rPr>
      </w:pPr>
    </w:p>
    <w:p w14:paraId="03D98726" w14:textId="77777777" w:rsidR="007B46F4" w:rsidRDefault="007B46F4">
      <w:pPr>
        <w:pStyle w:val="BodyText"/>
        <w:rPr>
          <w:sz w:val="20"/>
        </w:rPr>
      </w:pPr>
    </w:p>
    <w:p w14:paraId="4B226617" w14:textId="77777777" w:rsidR="007B46F4" w:rsidRDefault="007B46F4">
      <w:pPr>
        <w:pStyle w:val="BodyText"/>
        <w:rPr>
          <w:sz w:val="20"/>
        </w:rPr>
      </w:pPr>
    </w:p>
    <w:p w14:paraId="01B35D6C" w14:textId="77777777" w:rsidR="007B46F4" w:rsidRDefault="007B46F4">
      <w:pPr>
        <w:pStyle w:val="BodyText"/>
        <w:rPr>
          <w:sz w:val="20"/>
        </w:rPr>
      </w:pPr>
    </w:p>
    <w:p w14:paraId="59139C46" w14:textId="77777777" w:rsidR="007B46F4" w:rsidRDefault="007B46F4">
      <w:pPr>
        <w:pStyle w:val="BodyText"/>
        <w:rPr>
          <w:sz w:val="20"/>
        </w:rPr>
      </w:pPr>
    </w:p>
    <w:p w14:paraId="605F116E" w14:textId="77777777" w:rsidR="007B46F4" w:rsidRDefault="007B46F4">
      <w:pPr>
        <w:pStyle w:val="BodyText"/>
        <w:rPr>
          <w:sz w:val="20"/>
        </w:rPr>
      </w:pPr>
    </w:p>
    <w:p w14:paraId="3A2C9E4D" w14:textId="77777777" w:rsidR="007B46F4" w:rsidRDefault="007B46F4">
      <w:pPr>
        <w:pStyle w:val="BodyText"/>
        <w:rPr>
          <w:sz w:val="20"/>
        </w:rPr>
      </w:pPr>
    </w:p>
    <w:p w14:paraId="5CC1B4AE" w14:textId="77777777" w:rsidR="007B46F4" w:rsidRDefault="007B46F4">
      <w:pPr>
        <w:pStyle w:val="BodyText"/>
        <w:rPr>
          <w:sz w:val="20"/>
        </w:rPr>
      </w:pPr>
    </w:p>
    <w:p w14:paraId="0E3D66B5" w14:textId="77777777" w:rsidR="007B46F4" w:rsidRDefault="007B46F4">
      <w:pPr>
        <w:pStyle w:val="BodyText"/>
        <w:rPr>
          <w:sz w:val="20"/>
        </w:rPr>
      </w:pPr>
    </w:p>
    <w:p w14:paraId="6499EC04" w14:textId="77777777" w:rsidR="007B46F4" w:rsidRDefault="007B46F4">
      <w:pPr>
        <w:pStyle w:val="BodyText"/>
        <w:rPr>
          <w:sz w:val="20"/>
        </w:rPr>
      </w:pPr>
    </w:p>
    <w:p w14:paraId="0000537D" w14:textId="77777777" w:rsidR="007B46F4" w:rsidRDefault="007B46F4">
      <w:pPr>
        <w:pStyle w:val="BodyText"/>
        <w:rPr>
          <w:sz w:val="20"/>
        </w:rPr>
      </w:pPr>
    </w:p>
    <w:p w14:paraId="278F8375" w14:textId="77777777" w:rsidR="007B46F4" w:rsidRDefault="007B46F4">
      <w:pPr>
        <w:pStyle w:val="BodyText"/>
        <w:rPr>
          <w:sz w:val="20"/>
        </w:rPr>
      </w:pPr>
    </w:p>
    <w:p w14:paraId="47B2D6F4" w14:textId="77777777" w:rsidR="007B46F4" w:rsidRDefault="007B46F4">
      <w:pPr>
        <w:pStyle w:val="BodyText"/>
        <w:rPr>
          <w:sz w:val="20"/>
        </w:rPr>
      </w:pPr>
    </w:p>
    <w:p w14:paraId="32ED1FCA" w14:textId="77777777" w:rsidR="007B46F4" w:rsidRDefault="007B46F4">
      <w:pPr>
        <w:pStyle w:val="BodyText"/>
        <w:rPr>
          <w:sz w:val="20"/>
        </w:rPr>
      </w:pPr>
    </w:p>
    <w:p w14:paraId="4DE9575B" w14:textId="77777777" w:rsidR="007B46F4" w:rsidRDefault="007B46F4">
      <w:pPr>
        <w:pStyle w:val="BodyText"/>
        <w:rPr>
          <w:sz w:val="20"/>
        </w:rPr>
      </w:pPr>
    </w:p>
    <w:p w14:paraId="0BC92922" w14:textId="77777777" w:rsidR="007B46F4" w:rsidRDefault="007B46F4">
      <w:pPr>
        <w:pStyle w:val="BodyText"/>
        <w:rPr>
          <w:sz w:val="20"/>
        </w:rPr>
      </w:pPr>
    </w:p>
    <w:p w14:paraId="3F3BC67B" w14:textId="77777777" w:rsidR="007B46F4" w:rsidRDefault="007B46F4">
      <w:pPr>
        <w:pStyle w:val="BodyText"/>
        <w:rPr>
          <w:sz w:val="20"/>
        </w:rPr>
      </w:pPr>
    </w:p>
    <w:p w14:paraId="733A414F" w14:textId="77777777" w:rsidR="007B46F4" w:rsidRDefault="00054EAE">
      <w:pPr>
        <w:pStyle w:val="BodyText"/>
        <w:spacing w:before="6"/>
        <w:rPr>
          <w:sz w:val="13"/>
        </w:rPr>
      </w:pPr>
      <w:r>
        <w:pict w14:anchorId="1D5B0050">
          <v:line id="_x0000_s1027" alt="" style="position:absolute;z-index:251657216;mso-wrap-edited:f;mso-width-percent:0;mso-height-percent:0;mso-wrap-distance-left:0;mso-wrap-distance-right:0;mso-position-horizontal-relative:page;mso-width-percent:0;mso-height-percent:0" from="1in,10.6pt" to="216.05pt,10.6pt" strokeweight=".72pt">
            <w10:wrap type="topAndBottom" anchorx="page"/>
          </v:line>
        </w:pict>
      </w:r>
    </w:p>
    <w:p w14:paraId="1CE871BB" w14:textId="77777777" w:rsidR="007B46F4" w:rsidRDefault="00480CC8">
      <w:pPr>
        <w:spacing w:before="69"/>
        <w:ind w:left="140" w:right="267"/>
        <w:rPr>
          <w:sz w:val="20"/>
        </w:rPr>
      </w:pPr>
      <w:r>
        <w:rPr>
          <w:position w:val="7"/>
          <w:sz w:val="13"/>
        </w:rPr>
        <w:t xml:space="preserve">1 </w:t>
      </w:r>
      <w:r>
        <w:rPr>
          <w:sz w:val="20"/>
        </w:rPr>
        <w:t xml:space="preserve">See, Texas Education Code, Title 3 Higher Education. Available at </w:t>
      </w:r>
      <w:hyperlink r:id="rId8">
        <w:r>
          <w:rPr>
            <w:color w:val="0462C1"/>
            <w:sz w:val="20"/>
            <w:u w:val="single" w:color="0462C1"/>
          </w:rPr>
          <w:t>http://www.statutes.legis.state.tx.us/?link=ED</w:t>
        </w:r>
        <w:r>
          <w:rPr>
            <w:sz w:val="20"/>
          </w:rPr>
          <w:t>.</w:t>
        </w:r>
      </w:hyperlink>
      <w:r>
        <w:rPr>
          <w:sz w:val="20"/>
        </w:rPr>
        <w:t xml:space="preserve"> </w:t>
      </w:r>
      <w:r>
        <w:rPr>
          <w:position w:val="7"/>
          <w:sz w:val="13"/>
        </w:rPr>
        <w:t xml:space="preserve">2 </w:t>
      </w:r>
      <w:r>
        <w:rPr>
          <w:sz w:val="20"/>
        </w:rPr>
        <w:t xml:space="preserve">See, University of Texas Regents' Rules and Regulations. Available at </w:t>
      </w:r>
      <w:hyperlink r:id="rId9">
        <w:r>
          <w:rPr>
            <w:color w:val="0462C1"/>
            <w:sz w:val="20"/>
            <w:u w:val="single" w:color="0462C1"/>
          </w:rPr>
          <w:t>http://www.utsystem.edu/board-of-</w:t>
        </w:r>
      </w:hyperlink>
      <w:r>
        <w:rPr>
          <w:color w:val="0462C1"/>
          <w:sz w:val="20"/>
        </w:rPr>
        <w:t xml:space="preserve"> </w:t>
      </w:r>
      <w:hyperlink r:id="rId10">
        <w:r>
          <w:rPr>
            <w:color w:val="0462C1"/>
            <w:sz w:val="20"/>
            <w:u w:val="single" w:color="0462C1"/>
          </w:rPr>
          <w:t>regents/rules</w:t>
        </w:r>
        <w:r>
          <w:rPr>
            <w:sz w:val="20"/>
          </w:rPr>
          <w:t>.</w:t>
        </w:r>
      </w:hyperlink>
    </w:p>
    <w:p w14:paraId="1C5FDA7E" w14:textId="77777777" w:rsidR="007B46F4" w:rsidRDefault="00480CC8">
      <w:pPr>
        <w:spacing w:line="239" w:lineRule="exact"/>
        <w:ind w:left="140"/>
        <w:rPr>
          <w:sz w:val="20"/>
        </w:rPr>
      </w:pPr>
      <w:r>
        <w:rPr>
          <w:position w:val="7"/>
          <w:sz w:val="13"/>
        </w:rPr>
        <w:t xml:space="preserve">3 </w:t>
      </w:r>
      <w:r>
        <w:rPr>
          <w:sz w:val="20"/>
        </w:rPr>
        <w:t xml:space="preserve">All UTS Policies are available at </w:t>
      </w:r>
      <w:hyperlink r:id="rId11">
        <w:r>
          <w:rPr>
            <w:color w:val="0462C1"/>
            <w:sz w:val="20"/>
            <w:u w:val="single" w:color="0462C1"/>
          </w:rPr>
          <w:t>https://www.utsystem.edu/sites/policy-library</w:t>
        </w:r>
        <w:r>
          <w:rPr>
            <w:sz w:val="20"/>
          </w:rPr>
          <w:t>.</w:t>
        </w:r>
      </w:hyperlink>
    </w:p>
    <w:p w14:paraId="244DD929" w14:textId="77777777" w:rsidR="007B46F4" w:rsidRDefault="00480CC8">
      <w:pPr>
        <w:spacing w:line="246" w:lineRule="exact"/>
        <w:ind w:left="140"/>
        <w:rPr>
          <w:sz w:val="20"/>
        </w:rPr>
      </w:pPr>
      <w:r>
        <w:rPr>
          <w:position w:val="7"/>
          <w:sz w:val="13"/>
        </w:rPr>
        <w:t xml:space="preserve">4 </w:t>
      </w:r>
      <w:r>
        <w:rPr>
          <w:sz w:val="20"/>
        </w:rPr>
        <w:t xml:space="preserve">See, Handbook of Operating Procedures, available at </w:t>
      </w:r>
      <w:hyperlink r:id="rId12">
        <w:r>
          <w:rPr>
            <w:color w:val="0462C1"/>
            <w:sz w:val="20"/>
            <w:u w:val="single" w:color="0462C1"/>
          </w:rPr>
          <w:t>http://www.utrgv.edu/hop/</w:t>
        </w:r>
      </w:hyperlink>
    </w:p>
    <w:p w14:paraId="5990B503" w14:textId="77777777" w:rsidR="007B46F4" w:rsidRDefault="00054EAE">
      <w:pPr>
        <w:pStyle w:val="BodyText"/>
        <w:spacing w:before="3"/>
        <w:rPr>
          <w:sz w:val="9"/>
        </w:rPr>
      </w:pPr>
      <w:r>
        <w:pict w14:anchorId="5CA8E1E4">
          <v:line id="_x0000_s1026" alt="" style="position:absolute;z-index:251658240;mso-wrap-edited:f;mso-width-percent:0;mso-height-percent:0;mso-wrap-distance-left:0;mso-wrap-distance-right:0;mso-position-horizontal-relative:page;mso-width-percent:0;mso-height-percent:0" from="70.6pt,7.9pt" to="541.55pt,7.9pt" strokecolor="#d9d9d9" strokeweight=".48pt">
            <w10:wrap type="topAndBottom" anchorx="page"/>
          </v:line>
        </w:pict>
      </w:r>
    </w:p>
    <w:p w14:paraId="1F7D19FF" w14:textId="77777777" w:rsidR="007B46F4" w:rsidRDefault="00480CC8">
      <w:pPr>
        <w:pStyle w:val="BodyText"/>
        <w:spacing w:line="258" w:lineRule="exact"/>
        <w:ind w:right="194"/>
        <w:jc w:val="right"/>
      </w:pPr>
      <w:r>
        <w:t xml:space="preserve">1 | </w:t>
      </w:r>
      <w:r>
        <w:rPr>
          <w:color w:val="7E7E7E"/>
        </w:rPr>
        <w:t>P a g e</w:t>
      </w:r>
    </w:p>
    <w:sectPr w:rsidR="007B46F4">
      <w:type w:val="continuous"/>
      <w:pgSz w:w="12240" w:h="15840"/>
      <w:pgMar w:top="1400" w:right="1300"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imothy Huber" w:date="2019-03-06T19:18:00Z" w:initials="TH">
    <w:p w14:paraId="07BFE56D" w14:textId="4AEC2437" w:rsidR="00DC75E4" w:rsidRDefault="00DC75E4">
      <w:pPr>
        <w:pStyle w:val="CommentText"/>
      </w:pPr>
      <w:r>
        <w:rPr>
          <w:rStyle w:val="CommentReference"/>
        </w:rPr>
        <w:annotationRef/>
      </w:r>
      <w:r>
        <w:t xml:space="preserve">We should clarify the voting eligibility. Should everyone vote on curriculum issues, including adjuncts and Professors in Practice in the SMSS but with a majority of workload outside the school? </w:t>
      </w:r>
    </w:p>
  </w:comment>
  <w:comment w:id="1" w:author="Eleftherios Gkioulekas" w:date="2019-03-08T10:38:00Z" w:initials="EG">
    <w:p w14:paraId="2729141B" w14:textId="20625D01" w:rsidR="00054EAE" w:rsidRDefault="00054EAE">
      <w:pPr>
        <w:pStyle w:val="CommentText"/>
      </w:pPr>
      <w:r>
        <w:rPr>
          <w:rStyle w:val="CommentReference"/>
        </w:rPr>
        <w:annotationRef/>
      </w:r>
      <w:proofErr w:type="gramStart"/>
      <w:r>
        <w:t>This  is</w:t>
      </w:r>
      <w:proofErr w:type="gramEnd"/>
      <w:r>
        <w:t xml:space="preserve"> addressed case by case elsewhere in bylaws.</w:t>
      </w:r>
    </w:p>
  </w:comment>
  <w:comment w:id="2" w:author="Eleftherios Gkioulekas" w:date="2019-03-08T10:39:00Z" w:initials="EG">
    <w:p w14:paraId="7896BE2F" w14:textId="4A0B1493" w:rsidR="00054EAE" w:rsidRDefault="00054EAE">
      <w:pPr>
        <w:pStyle w:val="CommentText"/>
      </w:pPr>
      <w:r>
        <w:rPr>
          <w:rStyle w:val="CommentReference"/>
        </w:rPr>
        <w:annotationRef/>
      </w:r>
    </w:p>
  </w:comment>
  <w:comment w:id="3" w:author="Timothy Huber" w:date="2019-03-06T19:21:00Z" w:initials="TH">
    <w:p w14:paraId="2D263B41" w14:textId="5A733BF0" w:rsidR="00DC75E4" w:rsidRDefault="00DC75E4">
      <w:pPr>
        <w:pStyle w:val="CommentText"/>
      </w:pPr>
      <w:r>
        <w:rPr>
          <w:rStyle w:val="CommentReference"/>
        </w:rPr>
        <w:annotationRef/>
      </w:r>
      <w:r>
        <w:t xml:space="preserve">There are </w:t>
      </w:r>
      <w:proofErr w:type="spellStart"/>
      <w:r>
        <w:t>UTeach</w:t>
      </w:r>
      <w:proofErr w:type="spellEnd"/>
      <w:r>
        <w:t xml:space="preserve"> Professors in practice that are assigned to the SMSS and teach about the same number of classes as adjuncts. Should they be included here?</w:t>
      </w:r>
    </w:p>
  </w:comment>
  <w:comment w:id="4" w:author="Eleftherios Gkioulekas" w:date="2019-03-08T10:43:00Z" w:initials="EG">
    <w:p w14:paraId="5B1D831E" w14:textId="301ED05C" w:rsidR="00054EAE" w:rsidRDefault="00054EAE">
      <w:pPr>
        <w:pStyle w:val="CommentText"/>
      </w:pPr>
      <w:r>
        <w:rPr>
          <w:rStyle w:val="CommentReference"/>
        </w:rPr>
        <w:annotationRef/>
      </w:r>
      <w:r>
        <w:t xml:space="preserve">Tim assigns them courses with approval of </w:t>
      </w:r>
      <w:proofErr w:type="spellStart"/>
      <w:r>
        <w:t>UTreach</w:t>
      </w:r>
      <w:proofErr w:type="spellEnd"/>
      <w:r>
        <w:t xml:space="preserve">, they occasionally teach MATE 1351, 1352, are not evaluated by SMSS, and should not be included.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BFE56D" w15:done="0"/>
  <w15:commentEx w15:paraId="2729141B" w15:paraIdParent="07BFE56D" w15:done="0"/>
  <w15:commentEx w15:paraId="7896BE2F" w15:paraIdParent="07BFE56D" w15:done="0"/>
  <w15:commentEx w15:paraId="2D263B41" w15:done="0"/>
  <w15:commentEx w15:paraId="5B1D831E" w15:paraIdParent="2D263B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FE56D" w16cid:durableId="202A9B87"/>
  <w16cid:commentId w16cid:paraId="2729141B" w16cid:durableId="202CC488"/>
  <w16cid:commentId w16cid:paraId="7896BE2F" w16cid:durableId="202CC4FA"/>
  <w16cid:commentId w16cid:paraId="2D263B41" w16cid:durableId="202A9C21"/>
  <w16cid:commentId w16cid:paraId="5B1D831E" w16cid:durableId="202CC5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D20EE"/>
    <w:multiLevelType w:val="hybridMultilevel"/>
    <w:tmpl w:val="F33C08E2"/>
    <w:lvl w:ilvl="0" w:tplc="2054B470">
      <w:start w:val="1"/>
      <w:numFmt w:val="decimal"/>
      <w:lvlText w:val="%1."/>
      <w:lvlJc w:val="left"/>
      <w:pPr>
        <w:ind w:left="860" w:hanging="360"/>
        <w:jc w:val="left"/>
      </w:pPr>
      <w:rPr>
        <w:rFonts w:ascii="Calibri" w:eastAsia="Calibri" w:hAnsi="Calibri" w:cs="Calibri" w:hint="default"/>
        <w:w w:val="100"/>
        <w:sz w:val="22"/>
        <w:szCs w:val="22"/>
        <w:lang w:val="en-US" w:eastAsia="en-US" w:bidi="en-US"/>
      </w:rPr>
    </w:lvl>
    <w:lvl w:ilvl="1" w:tplc="D5769912">
      <w:start w:val="1"/>
      <w:numFmt w:val="lowerLetter"/>
      <w:lvlText w:val="%2."/>
      <w:lvlJc w:val="left"/>
      <w:pPr>
        <w:ind w:left="1220" w:hanging="360"/>
        <w:jc w:val="left"/>
      </w:pPr>
      <w:rPr>
        <w:rFonts w:ascii="Calibri" w:eastAsia="Calibri" w:hAnsi="Calibri" w:cs="Calibri" w:hint="default"/>
        <w:spacing w:val="-1"/>
        <w:w w:val="100"/>
        <w:sz w:val="22"/>
        <w:szCs w:val="22"/>
        <w:lang w:val="en-US" w:eastAsia="en-US" w:bidi="en-US"/>
      </w:rPr>
    </w:lvl>
    <w:lvl w:ilvl="2" w:tplc="BDA056C0">
      <w:numFmt w:val="bullet"/>
      <w:lvlText w:val="•"/>
      <w:lvlJc w:val="left"/>
      <w:pPr>
        <w:ind w:left="8680" w:hanging="360"/>
      </w:pPr>
      <w:rPr>
        <w:rFonts w:hint="default"/>
        <w:lang w:val="en-US" w:eastAsia="en-US" w:bidi="en-US"/>
      </w:rPr>
    </w:lvl>
    <w:lvl w:ilvl="3" w:tplc="7DEEA0FC">
      <w:numFmt w:val="bullet"/>
      <w:lvlText w:val="•"/>
      <w:lvlJc w:val="left"/>
      <w:pPr>
        <w:ind w:left="8800" w:hanging="360"/>
      </w:pPr>
      <w:rPr>
        <w:rFonts w:hint="default"/>
        <w:lang w:val="en-US" w:eastAsia="en-US" w:bidi="en-US"/>
      </w:rPr>
    </w:lvl>
    <w:lvl w:ilvl="4" w:tplc="6BF65240">
      <w:numFmt w:val="bullet"/>
      <w:lvlText w:val="•"/>
      <w:lvlJc w:val="left"/>
      <w:pPr>
        <w:ind w:left="8920" w:hanging="360"/>
      </w:pPr>
      <w:rPr>
        <w:rFonts w:hint="default"/>
        <w:lang w:val="en-US" w:eastAsia="en-US" w:bidi="en-US"/>
      </w:rPr>
    </w:lvl>
    <w:lvl w:ilvl="5" w:tplc="DA34A878">
      <w:numFmt w:val="bullet"/>
      <w:lvlText w:val="•"/>
      <w:lvlJc w:val="left"/>
      <w:pPr>
        <w:ind w:left="9040" w:hanging="360"/>
      </w:pPr>
      <w:rPr>
        <w:rFonts w:hint="default"/>
        <w:lang w:val="en-US" w:eastAsia="en-US" w:bidi="en-US"/>
      </w:rPr>
    </w:lvl>
    <w:lvl w:ilvl="6" w:tplc="7D105F7E">
      <w:numFmt w:val="bullet"/>
      <w:lvlText w:val="•"/>
      <w:lvlJc w:val="left"/>
      <w:pPr>
        <w:ind w:left="9160" w:hanging="360"/>
      </w:pPr>
      <w:rPr>
        <w:rFonts w:hint="default"/>
        <w:lang w:val="en-US" w:eastAsia="en-US" w:bidi="en-US"/>
      </w:rPr>
    </w:lvl>
    <w:lvl w:ilvl="7" w:tplc="FFF2A524">
      <w:numFmt w:val="bullet"/>
      <w:lvlText w:val="•"/>
      <w:lvlJc w:val="left"/>
      <w:pPr>
        <w:ind w:left="9280" w:hanging="360"/>
      </w:pPr>
      <w:rPr>
        <w:rFonts w:hint="default"/>
        <w:lang w:val="en-US" w:eastAsia="en-US" w:bidi="en-US"/>
      </w:rPr>
    </w:lvl>
    <w:lvl w:ilvl="8" w:tplc="E0802C0E">
      <w:numFmt w:val="bullet"/>
      <w:lvlText w:val="•"/>
      <w:lvlJc w:val="left"/>
      <w:pPr>
        <w:ind w:left="9400" w:hanging="360"/>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thy Huber">
    <w15:presenceInfo w15:providerId="AD" w15:userId="S::timothy.huber@utrgv.edu::8ae11309-2eaa-49c4-b92d-c65230c61896"/>
  </w15:person>
  <w15:person w15:author="Eleftherios Gkioulekas">
    <w15:presenceInfo w15:providerId="None" w15:userId="Eleftherios Gkioule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B46F4"/>
    <w:rsid w:val="00054EAE"/>
    <w:rsid w:val="00480CC8"/>
    <w:rsid w:val="007B46F4"/>
    <w:rsid w:val="00DC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0D9D5B"/>
  <w15:docId w15:val="{3DBFBBE1-BC43-424F-A0C4-7A6AF341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9"/>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paragraph" w:styleId="Revision">
    <w:name w:val="Revision"/>
    <w:hidden/>
    <w:uiPriority w:val="99"/>
    <w:semiHidden/>
    <w:rsid w:val="00DC75E4"/>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DC75E4"/>
    <w:rPr>
      <w:sz w:val="16"/>
      <w:szCs w:val="16"/>
    </w:rPr>
  </w:style>
  <w:style w:type="paragraph" w:styleId="CommentText">
    <w:name w:val="annotation text"/>
    <w:basedOn w:val="Normal"/>
    <w:link w:val="CommentTextChar"/>
    <w:uiPriority w:val="99"/>
    <w:semiHidden/>
    <w:unhideWhenUsed/>
    <w:rsid w:val="00DC75E4"/>
    <w:rPr>
      <w:sz w:val="20"/>
      <w:szCs w:val="20"/>
    </w:rPr>
  </w:style>
  <w:style w:type="character" w:customStyle="1" w:styleId="CommentTextChar">
    <w:name w:val="Comment Text Char"/>
    <w:basedOn w:val="DefaultParagraphFont"/>
    <w:link w:val="CommentText"/>
    <w:uiPriority w:val="99"/>
    <w:semiHidden/>
    <w:rsid w:val="00DC75E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C75E4"/>
    <w:rPr>
      <w:b/>
      <w:bCs/>
    </w:rPr>
  </w:style>
  <w:style w:type="character" w:customStyle="1" w:styleId="CommentSubjectChar">
    <w:name w:val="Comment Subject Char"/>
    <w:basedOn w:val="CommentTextChar"/>
    <w:link w:val="CommentSubject"/>
    <w:uiPriority w:val="99"/>
    <w:semiHidden/>
    <w:rsid w:val="00DC75E4"/>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DC7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75E4"/>
    <w:rPr>
      <w:rFonts w:ascii="Times New Roman" w:eastAsia="Calibri"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atutes.legis.state.tx.us/?link=ED"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www.utrgv.edu/hop/"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utsystem.edu/sites/policy-library"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www.utsystem.edu/board-of-regents/rules" TargetMode="External"/><Relationship Id="rId4" Type="http://schemas.openxmlformats.org/officeDocument/2006/relationships/webSettings" Target="webSettings.xml"/><Relationship Id="rId9" Type="http://schemas.openxmlformats.org/officeDocument/2006/relationships/hyperlink" Target="http://www.utsystem.edu/board-of-regents/rul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dc:creator>
  <cp:lastModifiedBy>Eleftherios Gkioulekas</cp:lastModifiedBy>
  <cp:revision>3</cp:revision>
  <dcterms:created xsi:type="dcterms:W3CDTF">2019-03-04T18:29:00Z</dcterms:created>
  <dcterms:modified xsi:type="dcterms:W3CDTF">2019-03-08T16:45:00Z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2019-01-27T00:00:00Z</vt:filetime>
  </property>
  <property fmtid="{D5CDD505-2E9C-101B-9397-08002B2CF9AE}" pid="3" name="Creator">
    <vt:lpwstr>Microsoft® Word for Office 365</vt:lpwstr>
  </property>
  <property fmtid="{D5CDD505-2E9C-101B-9397-08002B2CF9AE}" pid="4" name="LastSaved">
    <vt:filetime>2019-03-04T00:00:00Z</vt:filetime>
  </property>
</Properties>
</file>