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B5885" w14:textId="185D62EF" w:rsidR="00657DE4" w:rsidRPr="00C1502B" w:rsidRDefault="00657DE4" w:rsidP="00C1502B">
      <w:pPr>
        <w:jc w:val="center"/>
        <w:rPr>
          <w:b/>
          <w:sz w:val="28"/>
          <w:szCs w:val="28"/>
        </w:rPr>
      </w:pPr>
      <w:smartTag w:uri="urn:schemas-microsoft-com:office:smarttags" w:element="stockticker">
        <w:r w:rsidRPr="00C1502B">
          <w:rPr>
            <w:b/>
            <w:sz w:val="28"/>
            <w:szCs w:val="28"/>
          </w:rPr>
          <w:t>MATH</w:t>
        </w:r>
      </w:smartTag>
      <w:r w:rsidRPr="00C1502B">
        <w:rPr>
          <w:b/>
          <w:sz w:val="28"/>
          <w:szCs w:val="28"/>
        </w:rPr>
        <w:t xml:space="preserve"> 43</w:t>
      </w:r>
      <w:r w:rsidR="00D83905" w:rsidRPr="00C1502B">
        <w:rPr>
          <w:b/>
          <w:sz w:val="28"/>
          <w:szCs w:val="28"/>
        </w:rPr>
        <w:t>44</w:t>
      </w:r>
      <w:r w:rsidR="00C637D4" w:rsidRPr="00C1502B">
        <w:rPr>
          <w:b/>
          <w:sz w:val="28"/>
          <w:szCs w:val="28"/>
        </w:rPr>
        <w:t xml:space="preserve"> – </w:t>
      </w:r>
      <w:r w:rsidRPr="00C1502B">
        <w:rPr>
          <w:b/>
          <w:sz w:val="28"/>
          <w:szCs w:val="28"/>
        </w:rPr>
        <w:t>01</w:t>
      </w:r>
      <w:r w:rsidR="00D83905" w:rsidRPr="00C1502B">
        <w:rPr>
          <w:b/>
          <w:sz w:val="28"/>
          <w:szCs w:val="28"/>
        </w:rPr>
        <w:t>I</w:t>
      </w:r>
      <w:r w:rsidR="00C637D4" w:rsidRPr="00C1502B">
        <w:rPr>
          <w:b/>
          <w:sz w:val="28"/>
          <w:szCs w:val="28"/>
        </w:rPr>
        <w:t xml:space="preserve"> and </w:t>
      </w:r>
      <w:r w:rsidR="00D83905" w:rsidRPr="00C1502B">
        <w:rPr>
          <w:b/>
          <w:sz w:val="28"/>
          <w:szCs w:val="28"/>
        </w:rPr>
        <w:t>02I</w:t>
      </w:r>
      <w:r w:rsidRPr="00C1502B">
        <w:rPr>
          <w:b/>
          <w:sz w:val="28"/>
          <w:szCs w:val="28"/>
        </w:rPr>
        <w:t xml:space="preserve"> (Boundary Value Problem) </w:t>
      </w:r>
    </w:p>
    <w:p w14:paraId="514B5886" w14:textId="759887F7" w:rsidR="00657DE4" w:rsidRPr="00C1502B" w:rsidRDefault="00657DE4" w:rsidP="00C1502B">
      <w:pPr>
        <w:jc w:val="center"/>
      </w:pPr>
      <w:r w:rsidRPr="00C1502B">
        <w:rPr>
          <w:b/>
          <w:sz w:val="28"/>
          <w:szCs w:val="28"/>
        </w:rPr>
        <w:t>Syllabus for SPRING 20</w:t>
      </w:r>
      <w:r w:rsidR="00C637D4" w:rsidRPr="00C1502B">
        <w:rPr>
          <w:b/>
          <w:sz w:val="28"/>
          <w:szCs w:val="28"/>
        </w:rPr>
        <w:t>20</w:t>
      </w:r>
    </w:p>
    <w:p w14:paraId="514B5887" w14:textId="77777777" w:rsidR="00657DE4" w:rsidRPr="00C1502B" w:rsidRDefault="00657DE4" w:rsidP="00C1502B"/>
    <w:p w14:paraId="514B5888" w14:textId="563A668B" w:rsidR="00657DE4" w:rsidRPr="00C1502B" w:rsidRDefault="00657DE4" w:rsidP="00C1502B">
      <w:pPr>
        <w:jc w:val="both"/>
      </w:pPr>
      <w:r w:rsidRPr="00C1502B">
        <w:rPr>
          <w:b/>
        </w:rPr>
        <w:t>Classroom</w:t>
      </w:r>
      <w:r w:rsidRPr="00C1502B">
        <w:t xml:space="preserve">: </w:t>
      </w:r>
      <w:r w:rsidR="00DA00A9" w:rsidRPr="00C1502B">
        <w:t>E-</w:t>
      </w:r>
      <w:r w:rsidR="0024338E" w:rsidRPr="00C1502B">
        <w:rPr>
          <w:color w:val="000000"/>
          <w:shd w:val="clear" w:color="auto" w:fill="FFFFFF"/>
        </w:rPr>
        <w:t>ENG</w:t>
      </w:r>
      <w:r w:rsidR="00DA00A9" w:rsidRPr="00C1502B">
        <w:rPr>
          <w:color w:val="000000"/>
          <w:shd w:val="clear" w:color="auto" w:fill="FFFFFF"/>
        </w:rPr>
        <w:t>R</w:t>
      </w:r>
      <w:r w:rsidR="0024338E" w:rsidRPr="00C1502B">
        <w:rPr>
          <w:color w:val="000000"/>
          <w:shd w:val="clear" w:color="auto" w:fill="FFFFFF"/>
        </w:rPr>
        <w:t xml:space="preserve"> BUILDING 1.262</w:t>
      </w:r>
      <w:r w:rsidR="005841C3" w:rsidRPr="00C1502B">
        <w:rPr>
          <w:color w:val="000000"/>
          <w:shd w:val="clear" w:color="auto" w:fill="FFFFFF"/>
        </w:rPr>
        <w:t xml:space="preserve">, </w:t>
      </w:r>
      <w:r w:rsidR="005C6DCB" w:rsidRPr="00C1502B">
        <w:rPr>
          <w:color w:val="000000"/>
          <w:shd w:val="clear" w:color="auto" w:fill="FFFFFF"/>
        </w:rPr>
        <w:t xml:space="preserve">and </w:t>
      </w:r>
      <w:r w:rsidR="00DA00A9" w:rsidRPr="00C1502B">
        <w:rPr>
          <w:color w:val="000000"/>
          <w:shd w:val="clear" w:color="auto" w:fill="FFFFFF"/>
        </w:rPr>
        <w:t>B-</w:t>
      </w:r>
      <w:r w:rsidR="005841C3" w:rsidRPr="00C1502B">
        <w:rPr>
          <w:color w:val="000000"/>
          <w:shd w:val="clear" w:color="auto" w:fill="FFFFFF"/>
        </w:rPr>
        <w:t>SABAL HALL #96 2.110</w:t>
      </w:r>
    </w:p>
    <w:p w14:paraId="514B5889" w14:textId="0E3333F3" w:rsidR="00657DE4" w:rsidRPr="00C1502B" w:rsidRDefault="00657DE4" w:rsidP="00C1502B">
      <w:pPr>
        <w:jc w:val="both"/>
        <w:rPr>
          <w:u w:val="single"/>
        </w:rPr>
      </w:pPr>
      <w:r w:rsidRPr="00C1502B">
        <w:rPr>
          <w:b/>
        </w:rPr>
        <w:t>Time:</w:t>
      </w:r>
      <w:r w:rsidRPr="00C1502B">
        <w:rPr>
          <w:u w:val="single"/>
        </w:rPr>
        <w:t xml:space="preserve"> </w:t>
      </w:r>
      <w:proofErr w:type="gramStart"/>
      <w:r w:rsidR="00DA00A9" w:rsidRPr="00C1502B">
        <w:rPr>
          <w:u w:val="single"/>
        </w:rPr>
        <w:t>Mon</w:t>
      </w:r>
      <w:r w:rsidRPr="00C1502B">
        <w:rPr>
          <w:u w:val="single"/>
        </w:rPr>
        <w:t>day  &amp;</w:t>
      </w:r>
      <w:proofErr w:type="gramEnd"/>
      <w:r w:rsidRPr="00C1502B">
        <w:rPr>
          <w:u w:val="single"/>
        </w:rPr>
        <w:t xml:space="preserve"> </w:t>
      </w:r>
      <w:r w:rsidR="00DA00A9" w:rsidRPr="00C1502B">
        <w:rPr>
          <w:u w:val="single"/>
        </w:rPr>
        <w:t>Wednesday</w:t>
      </w:r>
      <w:r w:rsidRPr="00C1502B">
        <w:rPr>
          <w:u w:val="single"/>
        </w:rPr>
        <w:t xml:space="preserve"> </w:t>
      </w:r>
      <w:r w:rsidR="00CE6EF4" w:rsidRPr="00C1502B">
        <w:rPr>
          <w:color w:val="000000"/>
          <w:shd w:val="clear" w:color="auto" w:fill="FFFFFF"/>
        </w:rPr>
        <w:t>12:30 pm - 1:45 pm</w:t>
      </w:r>
      <w:r w:rsidRPr="00C1502B">
        <w:rPr>
          <w:u w:val="single"/>
        </w:rPr>
        <w:t xml:space="preserve"> </w:t>
      </w:r>
    </w:p>
    <w:p w14:paraId="514B588A" w14:textId="77777777" w:rsidR="00657DE4" w:rsidRPr="00C1502B" w:rsidRDefault="00657DE4" w:rsidP="00C1502B">
      <w:pPr>
        <w:jc w:val="both"/>
        <w:rPr>
          <w:u w:val="single"/>
        </w:rPr>
      </w:pPr>
    </w:p>
    <w:p w14:paraId="514B588B" w14:textId="77777777" w:rsidR="00657DE4" w:rsidRPr="00C1502B" w:rsidRDefault="00657DE4" w:rsidP="00C1502B">
      <w:pPr>
        <w:jc w:val="both"/>
        <w:rPr>
          <w:b/>
        </w:rPr>
      </w:pPr>
      <w:r w:rsidRPr="00C1502B">
        <w:rPr>
          <w:b/>
        </w:rPr>
        <w:t>Instructor:</w:t>
      </w:r>
    </w:p>
    <w:p w14:paraId="514B588C" w14:textId="77777777" w:rsidR="00657DE4" w:rsidRPr="00C1502B" w:rsidRDefault="00657DE4" w:rsidP="00C1502B">
      <w:pPr>
        <w:jc w:val="both"/>
      </w:pPr>
      <w:r w:rsidRPr="00C1502B">
        <w:t>Dr. Zhijun (George) Qiao</w:t>
      </w:r>
    </w:p>
    <w:p w14:paraId="514B588D" w14:textId="73B1CBB2" w:rsidR="00657DE4" w:rsidRPr="00C1502B" w:rsidRDefault="00657DE4" w:rsidP="00C1502B">
      <w:pPr>
        <w:jc w:val="both"/>
        <w:rPr>
          <w:i/>
        </w:rPr>
      </w:pPr>
      <w:r w:rsidRPr="00C1502B">
        <w:rPr>
          <w:i/>
          <w:u w:val="single"/>
        </w:rPr>
        <w:t xml:space="preserve">Office: MAGC 3.722, Phone: </w:t>
      </w:r>
      <w:r w:rsidR="006D2463" w:rsidRPr="00C1502B">
        <w:rPr>
          <w:i/>
          <w:u w:val="single"/>
        </w:rPr>
        <w:t>665</w:t>
      </w:r>
      <w:r w:rsidRPr="00C1502B">
        <w:rPr>
          <w:i/>
          <w:u w:val="single"/>
        </w:rPr>
        <w:t>-3406 (W)</w:t>
      </w:r>
      <w:r w:rsidRPr="00C1502B">
        <w:rPr>
          <w:i/>
        </w:rPr>
        <w:t xml:space="preserve">, Email: </w:t>
      </w:r>
      <w:hyperlink r:id="rId8" w:history="1">
        <w:r w:rsidR="00C86E6D" w:rsidRPr="00C1502B">
          <w:rPr>
            <w:rStyle w:val="Hyperlink"/>
            <w:i/>
          </w:rPr>
          <w:t>zhijun.qiao@utrgv.edu</w:t>
        </w:r>
      </w:hyperlink>
    </w:p>
    <w:p w14:paraId="4E24202A" w14:textId="77777777" w:rsidR="00044042" w:rsidRPr="00143FB9" w:rsidRDefault="00044042" w:rsidP="00C1502B">
      <w:pPr>
        <w:jc w:val="both"/>
        <w:rPr>
          <w:sz w:val="22"/>
          <w:szCs w:val="22"/>
        </w:rPr>
      </w:pPr>
      <w:r w:rsidRPr="00143FB9">
        <w:rPr>
          <w:sz w:val="22"/>
          <w:szCs w:val="22"/>
        </w:rPr>
        <w:t xml:space="preserve">Webpage: </w:t>
      </w:r>
      <w:hyperlink r:id="rId9" w:history="1">
        <w:r w:rsidRPr="00143FB9">
          <w:rPr>
            <w:rStyle w:val="Hyperlink"/>
            <w:sz w:val="22"/>
            <w:szCs w:val="22"/>
          </w:rPr>
          <w:t>http://faculty.utrgv.edu/zhijun.qiao</w:t>
        </w:r>
      </w:hyperlink>
      <w:r w:rsidRPr="00143FB9">
        <w:rPr>
          <w:sz w:val="22"/>
          <w:szCs w:val="22"/>
        </w:rPr>
        <w:t xml:space="preserve"> (</w:t>
      </w:r>
      <w:r w:rsidRPr="00143FB9">
        <w:rPr>
          <w:b/>
          <w:sz w:val="22"/>
          <w:szCs w:val="22"/>
        </w:rPr>
        <w:t xml:space="preserve">Online notes are available </w:t>
      </w:r>
      <w:r w:rsidRPr="00143FB9">
        <w:rPr>
          <w:sz w:val="22"/>
          <w:szCs w:val="22"/>
        </w:rPr>
        <w:t xml:space="preserve">at Dr. </w:t>
      </w:r>
      <w:proofErr w:type="spellStart"/>
      <w:r w:rsidRPr="00143FB9">
        <w:rPr>
          <w:sz w:val="22"/>
          <w:szCs w:val="22"/>
        </w:rPr>
        <w:t>Qiao’s</w:t>
      </w:r>
      <w:proofErr w:type="spellEnd"/>
      <w:r w:rsidRPr="00143FB9">
        <w:rPr>
          <w:sz w:val="22"/>
          <w:szCs w:val="22"/>
        </w:rPr>
        <w:t xml:space="preserve"> website)</w:t>
      </w:r>
    </w:p>
    <w:p w14:paraId="514B588F" w14:textId="44050431" w:rsidR="00657DE4" w:rsidRPr="00C1502B" w:rsidRDefault="00657DE4" w:rsidP="00C1502B">
      <w:pPr>
        <w:jc w:val="both"/>
      </w:pPr>
      <w:r w:rsidRPr="00C1502B">
        <w:rPr>
          <w:b/>
        </w:rPr>
        <w:t>Office hours</w:t>
      </w:r>
      <w:r w:rsidR="001E2BA5" w:rsidRPr="00C1502B">
        <w:t xml:space="preserve">: </w:t>
      </w:r>
      <w:r w:rsidR="00DA00A9" w:rsidRPr="00C1502B">
        <w:t>M</w:t>
      </w:r>
      <w:r w:rsidR="001E2BA5" w:rsidRPr="00C1502B">
        <w:t xml:space="preserve">, </w:t>
      </w:r>
      <w:r w:rsidR="00DA00A9" w:rsidRPr="00C1502B">
        <w:t>W</w:t>
      </w:r>
      <w:r w:rsidR="001E2BA5" w:rsidRPr="00C1502B">
        <w:t xml:space="preserve"> </w:t>
      </w:r>
      <w:r w:rsidR="00265659" w:rsidRPr="00C1502B">
        <w:t>2</w:t>
      </w:r>
      <w:r w:rsidRPr="00C1502B">
        <w:t>:</w:t>
      </w:r>
      <w:r w:rsidR="006045B8" w:rsidRPr="00C1502B">
        <w:t>15</w:t>
      </w:r>
      <w:r w:rsidR="00265659" w:rsidRPr="00C1502B">
        <w:t>p</w:t>
      </w:r>
      <w:r w:rsidRPr="00C1502B">
        <w:t>m –</w:t>
      </w:r>
      <w:r w:rsidR="001E2BA5" w:rsidRPr="00C1502B">
        <w:t xml:space="preserve"> </w:t>
      </w:r>
      <w:r w:rsidR="006045B8" w:rsidRPr="00C1502B">
        <w:t>3</w:t>
      </w:r>
      <w:r w:rsidR="00265659" w:rsidRPr="00C1502B">
        <w:t>:</w:t>
      </w:r>
      <w:r w:rsidR="006045B8" w:rsidRPr="00C1502B">
        <w:t>30</w:t>
      </w:r>
      <w:r w:rsidR="006E02EE" w:rsidRPr="00C1502B">
        <w:t>p</w:t>
      </w:r>
      <w:r w:rsidRPr="00C1502B">
        <w:t>m or by appointment.</w:t>
      </w:r>
    </w:p>
    <w:p w14:paraId="514B5890" w14:textId="77777777" w:rsidR="00657DE4" w:rsidRPr="00C1502B" w:rsidRDefault="00657DE4" w:rsidP="00C1502B">
      <w:pPr>
        <w:jc w:val="both"/>
      </w:pPr>
    </w:p>
    <w:p w14:paraId="514B5891" w14:textId="77777777" w:rsidR="00657DE4" w:rsidRPr="00C1502B" w:rsidRDefault="00657DE4" w:rsidP="00C1502B">
      <w:pPr>
        <w:jc w:val="both"/>
      </w:pPr>
      <w:r w:rsidRPr="00C1502B">
        <w:rPr>
          <w:b/>
        </w:rPr>
        <w:t>Prerequisite:</w:t>
      </w:r>
      <w:r w:rsidRPr="00C1502B">
        <w:t xml:space="preserve"> </w:t>
      </w:r>
    </w:p>
    <w:p w14:paraId="514B5892" w14:textId="77777777" w:rsidR="00657DE4" w:rsidRPr="00C1502B" w:rsidRDefault="00657DE4" w:rsidP="00C1502B">
      <w:pPr>
        <w:jc w:val="both"/>
      </w:pPr>
      <w:r w:rsidRPr="00C1502B">
        <w:t xml:space="preserve">A student must have completed and passed Differential Equation (Math 3349) with a grade C or better. </w:t>
      </w:r>
      <w:proofErr w:type="gramStart"/>
      <w:r w:rsidRPr="00C1502B">
        <w:t>In particular, you</w:t>
      </w:r>
      <w:proofErr w:type="gramEnd"/>
      <w:r w:rsidRPr="00C1502B">
        <w:t xml:space="preserve"> will need to know how to solve basic first order differential equations (linear and/or separable) and second order linear equations with constant coefficients. The student not meeting this requirement may be asked to drop the course.</w:t>
      </w:r>
    </w:p>
    <w:p w14:paraId="514B5893" w14:textId="77777777" w:rsidR="00657DE4" w:rsidRPr="00C1502B" w:rsidRDefault="00657DE4" w:rsidP="00C1502B">
      <w:pPr>
        <w:jc w:val="both"/>
      </w:pPr>
      <w:r w:rsidRPr="00C1502B">
        <w:t xml:space="preserve"> </w:t>
      </w:r>
    </w:p>
    <w:p w14:paraId="514B5894" w14:textId="77777777" w:rsidR="00657DE4" w:rsidRPr="00C1502B" w:rsidRDefault="00657DE4" w:rsidP="00C1502B">
      <w:pPr>
        <w:jc w:val="both"/>
        <w:rPr>
          <w:color w:val="000000"/>
        </w:rPr>
      </w:pPr>
      <w:r w:rsidRPr="00C1502B">
        <w:rPr>
          <w:b/>
        </w:rPr>
        <w:t>Textbook:</w:t>
      </w:r>
      <w:r w:rsidRPr="00C1502B">
        <w:t xml:space="preserve"> Required textbook: </w:t>
      </w:r>
      <w:r w:rsidRPr="00C1502B">
        <w:rPr>
          <w:i/>
          <w:iCs/>
        </w:rPr>
        <w:t>Partial Differential Equations for Scientists and Engineers</w:t>
      </w:r>
      <w:r w:rsidRPr="00C1502B">
        <w:t xml:space="preserve">, by </w:t>
      </w:r>
      <w:r w:rsidRPr="00C1502B">
        <w:rPr>
          <w:i/>
          <w:iCs/>
        </w:rPr>
        <w:t>Stanley J. Farlow</w:t>
      </w:r>
      <w:r w:rsidR="009F56A9" w:rsidRPr="00C1502B">
        <w:t xml:space="preserve">, Dover Publications, Inc, </w:t>
      </w:r>
      <w:r w:rsidR="009F56A9" w:rsidRPr="00C1502B">
        <w:rPr>
          <w:rStyle w:val="a-color-secondary"/>
        </w:rPr>
        <w:t>ISBN-13:</w:t>
      </w:r>
      <w:r w:rsidR="009F56A9" w:rsidRPr="00C1502B">
        <w:rPr>
          <w:rStyle w:val="apple-converted-space"/>
        </w:rPr>
        <w:t> </w:t>
      </w:r>
      <w:r w:rsidR="009F56A9" w:rsidRPr="00C1502B">
        <w:t>978-</w:t>
      </w:r>
      <w:proofErr w:type="gramStart"/>
      <w:r w:rsidR="009F56A9" w:rsidRPr="00C1502B">
        <w:t>0486676203</w:t>
      </w:r>
      <w:r w:rsidR="009F56A9" w:rsidRPr="00C1502B">
        <w:rPr>
          <w:rStyle w:val="apple-converted-space"/>
        </w:rPr>
        <w:t>  </w:t>
      </w:r>
      <w:r w:rsidR="009F56A9" w:rsidRPr="00C1502B">
        <w:rPr>
          <w:rStyle w:val="a-color-secondary"/>
        </w:rPr>
        <w:t>ISBN</w:t>
      </w:r>
      <w:proofErr w:type="gramEnd"/>
      <w:r w:rsidR="009F56A9" w:rsidRPr="00C1502B">
        <w:rPr>
          <w:rStyle w:val="a-color-secondary"/>
        </w:rPr>
        <w:t>-10:</w:t>
      </w:r>
      <w:r w:rsidR="009F56A9" w:rsidRPr="00C1502B">
        <w:rPr>
          <w:rStyle w:val="apple-converted-space"/>
        </w:rPr>
        <w:t> </w:t>
      </w:r>
      <w:r w:rsidR="009F56A9" w:rsidRPr="00C1502B">
        <w:t>048667620X</w:t>
      </w:r>
      <w:r w:rsidR="009F56A9" w:rsidRPr="00C1502B">
        <w:rPr>
          <w:rStyle w:val="apple-converted-space"/>
        </w:rPr>
        <w:t>  </w:t>
      </w:r>
      <w:r w:rsidR="009F56A9" w:rsidRPr="00C1502B">
        <w:rPr>
          <w:rStyle w:val="a-color-secondary"/>
        </w:rPr>
        <w:t>Edition:</w:t>
      </w:r>
      <w:r w:rsidR="009F56A9" w:rsidRPr="00C1502B">
        <w:rPr>
          <w:rStyle w:val="apple-converted-space"/>
        </w:rPr>
        <w:t> </w:t>
      </w:r>
      <w:r w:rsidR="009F56A9" w:rsidRPr="00C1502B">
        <w:t>Reprint</w:t>
      </w:r>
    </w:p>
    <w:p w14:paraId="514B5895" w14:textId="77777777" w:rsidR="00657DE4" w:rsidRPr="00C1502B" w:rsidRDefault="00657DE4" w:rsidP="00C1502B">
      <w:pPr>
        <w:jc w:val="both"/>
        <w:rPr>
          <w:color w:val="000000"/>
        </w:rPr>
      </w:pPr>
    </w:p>
    <w:p w14:paraId="514B5896" w14:textId="77777777" w:rsidR="00657DE4" w:rsidRPr="00C1502B" w:rsidRDefault="00657DE4" w:rsidP="00C1502B">
      <w:pPr>
        <w:jc w:val="both"/>
      </w:pPr>
      <w:r w:rsidRPr="00C1502B">
        <w:rPr>
          <w:b/>
        </w:rPr>
        <w:t>Topics:</w:t>
      </w:r>
      <w:r w:rsidRPr="00C1502B">
        <w:t xml:space="preserve"> Introduction of PDEs, Diffusion-type Problems, Hyperbolic-type Problems, Elliptic-type Problems, Separation of Variables, Fourier Integrals, and Boundary Value Problems. See sections selected in Chapters 2, 3, 4, 5, 6, 7 and 9.</w:t>
      </w:r>
    </w:p>
    <w:p w14:paraId="434F78A9" w14:textId="77777777" w:rsidR="00C1502B" w:rsidRDefault="00C1502B" w:rsidP="00C1502B">
      <w:pPr>
        <w:jc w:val="both"/>
        <w:rPr>
          <w:b/>
          <w:snapToGrid w:val="0"/>
        </w:rPr>
      </w:pPr>
    </w:p>
    <w:p w14:paraId="514B5897" w14:textId="3B97A2DB" w:rsidR="00657DE4" w:rsidRPr="00C1502B" w:rsidRDefault="00657DE4" w:rsidP="00C1502B">
      <w:pPr>
        <w:jc w:val="both"/>
        <w:rPr>
          <w:snapToGrid w:val="0"/>
        </w:rPr>
      </w:pPr>
      <w:r w:rsidRPr="00C1502B">
        <w:rPr>
          <w:b/>
          <w:snapToGrid w:val="0"/>
        </w:rPr>
        <w:t>Calculators and Other Electronic Equipment</w:t>
      </w:r>
      <w:r w:rsidRPr="00C1502B">
        <w:rPr>
          <w:snapToGrid w:val="0"/>
        </w:rPr>
        <w:t xml:space="preserve">: A basic scientific or graphing calculator will be recommended/needed for some of the homework and exam problems. Other electronic equipment such as pocket organizers, handheld or laptop computers, electronic writing pads or pen-input devices, and phones will not be permitted during any in-class exams. </w:t>
      </w:r>
    </w:p>
    <w:p w14:paraId="514B5898" w14:textId="77777777" w:rsidR="00657DE4" w:rsidRPr="00C1502B" w:rsidRDefault="00657DE4" w:rsidP="00C1502B">
      <w:pPr>
        <w:jc w:val="both"/>
        <w:rPr>
          <w:snapToGrid w:val="0"/>
        </w:rPr>
      </w:pPr>
      <w:r w:rsidRPr="00C1502B">
        <w:rPr>
          <w:snapToGrid w:val="0"/>
        </w:rPr>
        <w:t>Please make sure that cell phones and other noise-making equipment are turned off during class.</w:t>
      </w:r>
    </w:p>
    <w:p w14:paraId="514B5899" w14:textId="77777777" w:rsidR="00657DE4" w:rsidRPr="00C1502B" w:rsidRDefault="00657DE4" w:rsidP="00C1502B">
      <w:pPr>
        <w:jc w:val="both"/>
      </w:pPr>
      <w:r w:rsidRPr="00C1502B">
        <w:rPr>
          <w:b/>
        </w:rPr>
        <w:t xml:space="preserve">Daily supplies: </w:t>
      </w:r>
      <w:r w:rsidRPr="00C1502B">
        <w:t xml:space="preserve"> You need to bring Textbook, Notebook, Loose leaf paper, Graph paper, Pen, Pencil etc to the class.</w:t>
      </w:r>
    </w:p>
    <w:p w14:paraId="2F18468C" w14:textId="77777777" w:rsidR="00C1502B" w:rsidRDefault="00C1502B" w:rsidP="00C1502B">
      <w:pPr>
        <w:jc w:val="both"/>
        <w:rPr>
          <w:b/>
        </w:rPr>
      </w:pPr>
    </w:p>
    <w:p w14:paraId="514B589B" w14:textId="5AD4C1B6" w:rsidR="00657DE4" w:rsidRPr="00C1502B" w:rsidRDefault="00657DE4" w:rsidP="00C1502B">
      <w:pPr>
        <w:jc w:val="both"/>
      </w:pPr>
      <w:r w:rsidRPr="00C1502B">
        <w:rPr>
          <w:b/>
        </w:rPr>
        <w:t>Course Objectives &amp; Content:</w:t>
      </w:r>
      <w:r w:rsidRPr="00C1502B">
        <w:t xml:space="preserve"> The purpose of this course is to present an introduction to the theory and application of partial differential equations, with emphasis on those equations that result in a type of problem called a </w:t>
      </w:r>
      <w:r w:rsidRPr="00C1502B">
        <w:rPr>
          <w:i/>
        </w:rPr>
        <w:t>boundary value problem</w:t>
      </w:r>
      <w:r w:rsidRPr="00C1502B">
        <w:t>.  Topics will include the derivation, solution, and analysis of the heat equation, wave equation, and Laplace's equation, as well as solution techniques such as Fourier series and integral transforms.   The material covered and approximate time spent on each topic is</w:t>
      </w:r>
    </w:p>
    <w:p w14:paraId="514B589C" w14:textId="77777777" w:rsidR="00657DE4" w:rsidRPr="00C1502B" w:rsidRDefault="00657DE4" w:rsidP="00C1502B">
      <w:pPr>
        <w:jc w:val="both"/>
      </w:pPr>
    </w:p>
    <w:tbl>
      <w:tblPr>
        <w:tblW w:w="0" w:type="auto"/>
        <w:jc w:val="center"/>
        <w:tblLayout w:type="fixed"/>
        <w:tblLook w:val="0000" w:firstRow="0" w:lastRow="0" w:firstColumn="0" w:lastColumn="0" w:noHBand="0" w:noVBand="0"/>
      </w:tblPr>
      <w:tblGrid>
        <w:gridCol w:w="1296"/>
        <w:gridCol w:w="6509"/>
      </w:tblGrid>
      <w:tr w:rsidR="00657DE4" w:rsidRPr="00C1502B" w14:paraId="514B589F" w14:textId="77777777" w:rsidTr="008C2909">
        <w:trPr>
          <w:jc w:val="center"/>
        </w:trPr>
        <w:tc>
          <w:tcPr>
            <w:tcW w:w="1296" w:type="dxa"/>
          </w:tcPr>
          <w:p w14:paraId="514B589D" w14:textId="77777777" w:rsidR="00657DE4" w:rsidRPr="00C1502B" w:rsidRDefault="00657DE4" w:rsidP="00C1502B">
            <w:pPr>
              <w:jc w:val="both"/>
            </w:pPr>
            <w:r w:rsidRPr="00C1502B">
              <w:t>0.5 week</w:t>
            </w:r>
          </w:p>
        </w:tc>
        <w:tc>
          <w:tcPr>
            <w:tcW w:w="6509" w:type="dxa"/>
          </w:tcPr>
          <w:p w14:paraId="514B589E" w14:textId="77777777" w:rsidR="00657DE4" w:rsidRPr="00C1502B" w:rsidRDefault="00657DE4" w:rsidP="00C1502B">
            <w:pPr>
              <w:jc w:val="both"/>
            </w:pPr>
            <w:r w:rsidRPr="00C1502B">
              <w:t>Introduction to partial differential equations</w:t>
            </w:r>
          </w:p>
        </w:tc>
      </w:tr>
      <w:tr w:rsidR="00657DE4" w:rsidRPr="00C1502B" w14:paraId="514B58A2" w14:textId="77777777" w:rsidTr="008C2909">
        <w:trPr>
          <w:jc w:val="center"/>
        </w:trPr>
        <w:tc>
          <w:tcPr>
            <w:tcW w:w="1296" w:type="dxa"/>
          </w:tcPr>
          <w:p w14:paraId="514B58A0" w14:textId="77777777" w:rsidR="00657DE4" w:rsidRPr="00C1502B" w:rsidRDefault="00657DE4" w:rsidP="00C1502B">
            <w:pPr>
              <w:jc w:val="both"/>
            </w:pPr>
            <w:r w:rsidRPr="00C1502B">
              <w:t>3 weeks</w:t>
            </w:r>
          </w:p>
        </w:tc>
        <w:tc>
          <w:tcPr>
            <w:tcW w:w="6509" w:type="dxa"/>
          </w:tcPr>
          <w:p w14:paraId="514B58A1" w14:textId="77777777" w:rsidR="00657DE4" w:rsidRPr="00C1502B" w:rsidRDefault="00657DE4" w:rsidP="00C1502B">
            <w:pPr>
              <w:jc w:val="both"/>
            </w:pPr>
            <w:r w:rsidRPr="00C1502B">
              <w:t>Diffusion-type problems</w:t>
            </w:r>
          </w:p>
        </w:tc>
      </w:tr>
      <w:tr w:rsidR="00657DE4" w:rsidRPr="00C1502B" w14:paraId="514B58A5" w14:textId="77777777" w:rsidTr="008C2909">
        <w:trPr>
          <w:jc w:val="center"/>
        </w:trPr>
        <w:tc>
          <w:tcPr>
            <w:tcW w:w="1296" w:type="dxa"/>
          </w:tcPr>
          <w:p w14:paraId="514B58A3" w14:textId="77777777" w:rsidR="00657DE4" w:rsidRPr="00C1502B" w:rsidRDefault="00657DE4" w:rsidP="00C1502B">
            <w:pPr>
              <w:jc w:val="both"/>
            </w:pPr>
            <w:r w:rsidRPr="00C1502B">
              <w:t>3 weeks</w:t>
            </w:r>
          </w:p>
        </w:tc>
        <w:tc>
          <w:tcPr>
            <w:tcW w:w="6509" w:type="dxa"/>
          </w:tcPr>
          <w:p w14:paraId="514B58A4" w14:textId="77777777" w:rsidR="00657DE4" w:rsidRPr="00C1502B" w:rsidRDefault="00657DE4" w:rsidP="00C1502B">
            <w:pPr>
              <w:jc w:val="both"/>
            </w:pPr>
            <w:r w:rsidRPr="00C1502B">
              <w:t xml:space="preserve">Fourier series </w:t>
            </w:r>
            <w:proofErr w:type="gramStart"/>
            <w:r w:rsidRPr="00C1502B">
              <w:t>and  boundary</w:t>
            </w:r>
            <w:proofErr w:type="gramEnd"/>
            <w:r w:rsidRPr="00C1502B">
              <w:t xml:space="preserve"> value problems</w:t>
            </w:r>
          </w:p>
        </w:tc>
      </w:tr>
      <w:tr w:rsidR="00657DE4" w:rsidRPr="00C1502B" w14:paraId="514B58A8" w14:textId="77777777" w:rsidTr="008C2909">
        <w:trPr>
          <w:jc w:val="center"/>
        </w:trPr>
        <w:tc>
          <w:tcPr>
            <w:tcW w:w="1296" w:type="dxa"/>
          </w:tcPr>
          <w:p w14:paraId="514B58A6" w14:textId="77777777" w:rsidR="00657DE4" w:rsidRPr="00C1502B" w:rsidRDefault="00657DE4" w:rsidP="00C1502B">
            <w:pPr>
              <w:jc w:val="both"/>
            </w:pPr>
            <w:r w:rsidRPr="00C1502B">
              <w:t>2 weeks</w:t>
            </w:r>
          </w:p>
        </w:tc>
        <w:tc>
          <w:tcPr>
            <w:tcW w:w="6509" w:type="dxa"/>
          </w:tcPr>
          <w:p w14:paraId="514B58A7" w14:textId="77777777" w:rsidR="00657DE4" w:rsidRPr="00C1502B" w:rsidRDefault="00657DE4" w:rsidP="00C1502B">
            <w:pPr>
              <w:jc w:val="both"/>
            </w:pPr>
            <w:r w:rsidRPr="00C1502B">
              <w:t>Integral transform techniques</w:t>
            </w:r>
          </w:p>
        </w:tc>
      </w:tr>
      <w:tr w:rsidR="00657DE4" w:rsidRPr="00C1502B" w14:paraId="514B58AB" w14:textId="77777777" w:rsidTr="008C2909">
        <w:trPr>
          <w:jc w:val="center"/>
        </w:trPr>
        <w:tc>
          <w:tcPr>
            <w:tcW w:w="1296" w:type="dxa"/>
          </w:tcPr>
          <w:p w14:paraId="514B58A9" w14:textId="77777777" w:rsidR="00657DE4" w:rsidRPr="00C1502B" w:rsidRDefault="00657DE4" w:rsidP="00C1502B">
            <w:pPr>
              <w:jc w:val="both"/>
            </w:pPr>
            <w:r w:rsidRPr="00C1502B">
              <w:t>3 weeks</w:t>
            </w:r>
          </w:p>
        </w:tc>
        <w:tc>
          <w:tcPr>
            <w:tcW w:w="6509" w:type="dxa"/>
          </w:tcPr>
          <w:p w14:paraId="514B58AA" w14:textId="77777777" w:rsidR="00657DE4" w:rsidRPr="00C1502B" w:rsidRDefault="00657DE4" w:rsidP="00C1502B">
            <w:pPr>
              <w:jc w:val="both"/>
            </w:pPr>
            <w:r w:rsidRPr="00C1502B">
              <w:t>Hyperbolic-type problems (vibrating strings, beams, and drums)</w:t>
            </w:r>
          </w:p>
        </w:tc>
      </w:tr>
      <w:tr w:rsidR="00657DE4" w:rsidRPr="00C1502B" w14:paraId="514B58AE" w14:textId="77777777" w:rsidTr="008C2909">
        <w:trPr>
          <w:jc w:val="center"/>
        </w:trPr>
        <w:tc>
          <w:tcPr>
            <w:tcW w:w="1296" w:type="dxa"/>
          </w:tcPr>
          <w:p w14:paraId="514B58AC" w14:textId="77777777" w:rsidR="00657DE4" w:rsidRPr="00C1502B" w:rsidRDefault="00657DE4" w:rsidP="00C1502B">
            <w:pPr>
              <w:jc w:val="both"/>
            </w:pPr>
            <w:r w:rsidRPr="00C1502B">
              <w:t>2 weeks</w:t>
            </w:r>
          </w:p>
        </w:tc>
        <w:tc>
          <w:tcPr>
            <w:tcW w:w="6509" w:type="dxa"/>
          </w:tcPr>
          <w:p w14:paraId="514B58AD" w14:textId="77777777" w:rsidR="00657DE4" w:rsidRPr="00C1502B" w:rsidRDefault="00657DE4" w:rsidP="00C1502B">
            <w:pPr>
              <w:jc w:val="both"/>
            </w:pPr>
            <w:r w:rsidRPr="00C1502B">
              <w:t>Elliptic-type problems</w:t>
            </w:r>
          </w:p>
        </w:tc>
      </w:tr>
      <w:tr w:rsidR="00657DE4" w:rsidRPr="00C1502B" w14:paraId="514B58B1" w14:textId="77777777" w:rsidTr="008C2909">
        <w:trPr>
          <w:jc w:val="center"/>
        </w:trPr>
        <w:tc>
          <w:tcPr>
            <w:tcW w:w="1296" w:type="dxa"/>
          </w:tcPr>
          <w:p w14:paraId="514B58AF" w14:textId="77777777" w:rsidR="00657DE4" w:rsidRPr="00C1502B" w:rsidRDefault="00657DE4" w:rsidP="00C1502B">
            <w:pPr>
              <w:jc w:val="both"/>
            </w:pPr>
            <w:r w:rsidRPr="00C1502B">
              <w:t>1.5 weeks</w:t>
            </w:r>
          </w:p>
        </w:tc>
        <w:tc>
          <w:tcPr>
            <w:tcW w:w="6509" w:type="dxa"/>
          </w:tcPr>
          <w:p w14:paraId="514B58B0" w14:textId="77777777" w:rsidR="00657DE4" w:rsidRPr="00C1502B" w:rsidRDefault="00657DE4" w:rsidP="00C1502B">
            <w:pPr>
              <w:jc w:val="both"/>
            </w:pPr>
            <w:r w:rsidRPr="00C1502B">
              <w:t>Numerical methods</w:t>
            </w:r>
          </w:p>
        </w:tc>
      </w:tr>
    </w:tbl>
    <w:p w14:paraId="514B58B2" w14:textId="77777777" w:rsidR="00657DE4" w:rsidRPr="00C1502B" w:rsidRDefault="00657DE4" w:rsidP="00C1502B">
      <w:pPr>
        <w:jc w:val="both"/>
      </w:pPr>
    </w:p>
    <w:p w14:paraId="514B58B3" w14:textId="77777777" w:rsidR="00657DE4" w:rsidRPr="00C1502B" w:rsidRDefault="00657DE4" w:rsidP="00C1502B">
      <w:pPr>
        <w:jc w:val="both"/>
      </w:pPr>
      <w:r w:rsidRPr="00C1502B">
        <w:rPr>
          <w:b/>
          <w:bCs/>
        </w:rPr>
        <w:t>Student Learning Outcomes:</w:t>
      </w:r>
      <w:r w:rsidRPr="00C1502B">
        <w:t xml:space="preserve"> After completing this course students will </w:t>
      </w:r>
    </w:p>
    <w:p w14:paraId="514B58B4" w14:textId="77777777" w:rsidR="00657DE4" w:rsidRPr="00C1502B" w:rsidRDefault="00657DE4" w:rsidP="00C1502B">
      <w:pPr>
        <w:numPr>
          <w:ilvl w:val="0"/>
          <w:numId w:val="5"/>
        </w:numPr>
        <w:jc w:val="both"/>
      </w:pPr>
      <w:r w:rsidRPr="00C1502B">
        <w:t>Know how to classify partial differential equations (PDEs), how to solve some typical linear PDEs, and why PDEs are useful in physics, mechanics, and other nonlinear sciences.</w:t>
      </w:r>
    </w:p>
    <w:p w14:paraId="514B58B5" w14:textId="77777777" w:rsidR="00657DE4" w:rsidRPr="00C1502B" w:rsidRDefault="00657DE4" w:rsidP="00C1502B">
      <w:pPr>
        <w:numPr>
          <w:ilvl w:val="0"/>
          <w:numId w:val="5"/>
        </w:numPr>
        <w:jc w:val="both"/>
      </w:pPr>
      <w:r w:rsidRPr="00C1502B">
        <w:t xml:space="preserve">Correctly apply the standard methods to solve heat equations, including separation of variables, transformations, integral transforms, Fourier series and Fourier transform, </w:t>
      </w:r>
      <w:smartTag w:uri="urn:schemas-microsoft-com:office:smarttags" w:element="stockticker">
        <w:r w:rsidRPr="00C1502B">
          <w:t>Laplace</w:t>
        </w:r>
      </w:smartTag>
      <w:r w:rsidRPr="00C1502B">
        <w:t xml:space="preserve"> transform, and Duhamel’s principle.</w:t>
      </w:r>
    </w:p>
    <w:p w14:paraId="514B58B6" w14:textId="77777777" w:rsidR="00657DE4" w:rsidRPr="00C1502B" w:rsidRDefault="00657DE4" w:rsidP="00C1502B">
      <w:pPr>
        <w:numPr>
          <w:ilvl w:val="0"/>
          <w:numId w:val="5"/>
        </w:numPr>
        <w:jc w:val="both"/>
      </w:pPr>
      <w:r w:rsidRPr="00C1502B">
        <w:t xml:space="preserve">Correctly apply the standard methods to solve wave equations, including </w:t>
      </w:r>
      <w:proofErr w:type="spellStart"/>
      <w:r w:rsidRPr="00C1502B">
        <w:t>D’Alembert</w:t>
      </w:r>
      <w:proofErr w:type="spellEnd"/>
      <w:r w:rsidRPr="00C1502B">
        <w:t xml:space="preserve"> solutions, setting boundary and initial conditions, finite Fourier transforms, superposition, method of characteristics, conservation equations, and reducing wave equation in polar coordinates.</w:t>
      </w:r>
    </w:p>
    <w:p w14:paraId="514B58B7" w14:textId="77777777" w:rsidR="00657DE4" w:rsidRPr="00C1502B" w:rsidRDefault="00657DE4" w:rsidP="00C1502B">
      <w:pPr>
        <w:numPr>
          <w:ilvl w:val="0"/>
          <w:numId w:val="5"/>
        </w:numPr>
        <w:jc w:val="both"/>
      </w:pPr>
      <w:r w:rsidRPr="00C1502B">
        <w:t>Correctly deal with boundary value problems, Dirichlet problems with spherical harmonics and Green functions for elliptic-type problems.</w:t>
      </w:r>
    </w:p>
    <w:p w14:paraId="514B58B8" w14:textId="77777777" w:rsidR="00657DE4" w:rsidRPr="00C1502B" w:rsidRDefault="00657DE4" w:rsidP="00C1502B">
      <w:pPr>
        <w:numPr>
          <w:ilvl w:val="0"/>
          <w:numId w:val="5"/>
        </w:numPr>
        <w:jc w:val="both"/>
      </w:pPr>
      <w:r w:rsidRPr="00C1502B">
        <w:t>Be able to apply basic mathematical PDEs’ skill to deal with physical and engineering model problems.</w:t>
      </w:r>
    </w:p>
    <w:p w14:paraId="53AA975D" w14:textId="77777777" w:rsidR="00EE2779" w:rsidRDefault="00EE2779" w:rsidP="00C1502B">
      <w:pPr>
        <w:jc w:val="both"/>
        <w:rPr>
          <w:b/>
        </w:rPr>
      </w:pPr>
    </w:p>
    <w:p w14:paraId="514B58BD" w14:textId="781EE0FF" w:rsidR="00657DE4" w:rsidRPr="00C1502B" w:rsidRDefault="00657DE4" w:rsidP="00C1502B">
      <w:pPr>
        <w:jc w:val="both"/>
        <w:rPr>
          <w:b/>
        </w:rPr>
      </w:pPr>
      <w:r w:rsidRPr="00C1502B">
        <w:rPr>
          <w:b/>
        </w:rPr>
        <w:t xml:space="preserve">General Grade Policy </w:t>
      </w:r>
    </w:p>
    <w:p w14:paraId="514B58BF" w14:textId="77777777" w:rsidR="00E50F15" w:rsidRPr="00C1502B" w:rsidRDefault="00657DE4" w:rsidP="00C1502B">
      <w:pPr>
        <w:jc w:val="both"/>
        <w:rPr>
          <w:b/>
        </w:rPr>
      </w:pPr>
      <w:r w:rsidRPr="00C1502B">
        <w:rPr>
          <w:b/>
        </w:rPr>
        <w:t xml:space="preserve">Homework and Quizzes – </w:t>
      </w:r>
      <w:r w:rsidR="00E50F15" w:rsidRPr="00C1502B">
        <w:rPr>
          <w:b/>
        </w:rPr>
        <w:t xml:space="preserve">Quizzes and Homework – </w:t>
      </w:r>
      <w:r w:rsidR="00E50F15" w:rsidRPr="00C1502B">
        <w:rPr>
          <w:u w:val="single"/>
        </w:rPr>
        <w:t xml:space="preserve">Homework assignment is assigned daily through the </w:t>
      </w:r>
      <w:proofErr w:type="gramStart"/>
      <w:r w:rsidR="00E50F15" w:rsidRPr="00C1502B">
        <w:rPr>
          <w:u w:val="single"/>
        </w:rPr>
        <w:t>Webwork, and</w:t>
      </w:r>
      <w:proofErr w:type="gramEnd"/>
      <w:r w:rsidR="00E50F15" w:rsidRPr="00C1502B">
        <w:t xml:space="preserve"> w</w:t>
      </w:r>
      <w:r w:rsidR="00E50F15" w:rsidRPr="00C1502B">
        <w:rPr>
          <w:rFonts w:eastAsia="Times New Roman"/>
        </w:rPr>
        <w:t>ill consist of problems from the textbook and occasional handout.</w:t>
      </w:r>
      <w:r w:rsidR="00E50F15" w:rsidRPr="00C1502B">
        <w:t xml:space="preserve"> Quizzes and Tests are based on the homework problems. </w:t>
      </w:r>
      <w:r w:rsidR="00E50F15" w:rsidRPr="00C1502B">
        <w:rPr>
          <w:u w:val="single"/>
        </w:rPr>
        <w:t>A quiz will be taken every two weeks</w:t>
      </w:r>
      <w:r w:rsidR="00E50F15" w:rsidRPr="00C1502B">
        <w:t xml:space="preserve">. It is strongly recommended that students work all those </w:t>
      </w:r>
      <w:r w:rsidR="00E50F15" w:rsidRPr="00C1502B">
        <w:lastRenderedPageBreak/>
        <w:t xml:space="preserve">homework problems since quiz and test score are used to determine your grade. </w:t>
      </w:r>
      <w:r w:rsidR="00E50F15" w:rsidRPr="00C1502B">
        <w:rPr>
          <w:rFonts w:eastAsia="Times New Roman"/>
        </w:rPr>
        <w:t xml:space="preserve">Completing the assignments is the </w:t>
      </w:r>
      <w:r w:rsidR="00E50F15" w:rsidRPr="00C1502B">
        <w:rPr>
          <w:b/>
          <w:bCs/>
          <w:i/>
          <w:iCs/>
        </w:rPr>
        <w:t>single most important part</w:t>
      </w:r>
      <w:r w:rsidR="00E50F15" w:rsidRPr="00C1502B">
        <w:t xml:space="preserve"> </w:t>
      </w:r>
      <w:r w:rsidR="00E50F15" w:rsidRPr="00C1502B">
        <w:rPr>
          <w:rFonts w:eastAsia="Times New Roman"/>
        </w:rPr>
        <w:t>of this course.</w:t>
      </w:r>
      <w:r w:rsidR="00E50F15" w:rsidRPr="00C1502B">
        <w:t xml:space="preserve"> </w:t>
      </w:r>
      <w:r w:rsidR="00E50F15" w:rsidRPr="00C1502B">
        <w:rPr>
          <w:rFonts w:eastAsia="Times New Roman"/>
        </w:rPr>
        <w:t xml:space="preserve">You will be expected to spend, on average, about </w:t>
      </w:r>
      <w:r w:rsidR="00E50F15" w:rsidRPr="00C1502B">
        <w:t>4</w:t>
      </w:r>
      <w:r w:rsidR="00E50F15" w:rsidRPr="00C1502B">
        <w:rPr>
          <w:rFonts w:eastAsia="Times New Roman"/>
        </w:rPr>
        <w:t xml:space="preserve"> hours each week to complete the assignments. The assigned problems will be graded automatically through webwork system. They will form the basis for quizzes and the mid-term and final exams.</w:t>
      </w:r>
      <w:r w:rsidR="00E50F15" w:rsidRPr="00C1502B">
        <w:t xml:space="preserve"> No late re-quiz will be accepted.</w:t>
      </w:r>
    </w:p>
    <w:p w14:paraId="514B58C0" w14:textId="77777777" w:rsidR="00657DE4" w:rsidRPr="00C1502B" w:rsidRDefault="00657DE4" w:rsidP="00C1502B">
      <w:pPr>
        <w:jc w:val="both"/>
      </w:pPr>
    </w:p>
    <w:p w14:paraId="514B58C1" w14:textId="77777777" w:rsidR="00657DE4" w:rsidRPr="00C1502B" w:rsidRDefault="00657DE4" w:rsidP="00C1502B">
      <w:pPr>
        <w:jc w:val="both"/>
      </w:pPr>
      <w:r w:rsidRPr="00C1502B">
        <w:rPr>
          <w:b/>
        </w:rPr>
        <w:t>Tests –</w:t>
      </w:r>
      <w:r w:rsidRPr="00C1502B">
        <w:t xml:space="preserve"> there will be three one-hour in-class tests. All tests must be taken during their scheduled times. The test time will be announced in advance (basically, a test will be given every two chapters), and a short review will be given before each test. All students must show their work on the tests. Score will be provided to you separately. No re-test opportunities.</w:t>
      </w:r>
    </w:p>
    <w:p w14:paraId="514B58C2" w14:textId="77777777" w:rsidR="00657DE4" w:rsidRPr="00C1502B" w:rsidRDefault="00657DE4" w:rsidP="00C1502B">
      <w:pPr>
        <w:jc w:val="both"/>
      </w:pPr>
    </w:p>
    <w:p w14:paraId="514B58C3" w14:textId="1747F4B2" w:rsidR="00657DE4" w:rsidRPr="00C1502B" w:rsidRDefault="00657DE4" w:rsidP="00751BB7">
      <w:pPr>
        <w:jc w:val="both"/>
      </w:pPr>
      <w:r w:rsidRPr="00C1502B">
        <w:rPr>
          <w:b/>
        </w:rPr>
        <w:t xml:space="preserve">Final Exam – </w:t>
      </w:r>
      <w:r w:rsidRPr="00C1502B">
        <w:t xml:space="preserve">The </w:t>
      </w:r>
      <w:r w:rsidRPr="00C1502B">
        <w:rPr>
          <w:u w:val="single"/>
        </w:rPr>
        <w:t>comprehensive</w:t>
      </w:r>
      <w:r w:rsidRPr="00C1502B">
        <w:t xml:space="preserve"> final exam </w:t>
      </w:r>
      <w:r w:rsidR="004542B1" w:rsidRPr="00C1502B">
        <w:t xml:space="preserve">(it may be a take-home test) </w:t>
      </w:r>
      <w:r w:rsidRPr="00C1502B">
        <w:t xml:space="preserve">is scheduled on </w:t>
      </w:r>
      <w:r w:rsidR="00063A77" w:rsidRPr="00C1502B">
        <w:rPr>
          <w:b/>
        </w:rPr>
        <w:t>Wednesday May 6</w:t>
      </w:r>
      <w:r w:rsidR="00152AE9" w:rsidRPr="00C1502B">
        <w:rPr>
          <w:b/>
        </w:rPr>
        <w:t xml:space="preserve"> 10:15 AM-12:00 PM</w:t>
      </w:r>
      <w:r w:rsidRPr="00C1502B">
        <w:t>. All students must take the final exam on the scheduled time. A summary review will be given in the class before the final exam.</w:t>
      </w:r>
    </w:p>
    <w:p w14:paraId="514B58C4" w14:textId="77777777" w:rsidR="00657DE4" w:rsidRPr="00C1502B" w:rsidRDefault="00657DE4" w:rsidP="00C1502B">
      <w:pPr>
        <w:jc w:val="both"/>
      </w:pPr>
    </w:p>
    <w:p w14:paraId="514B58C6" w14:textId="60A30935" w:rsidR="00657DE4" w:rsidRPr="00C1502B" w:rsidRDefault="00657DE4" w:rsidP="00C1502B">
      <w:pPr>
        <w:jc w:val="both"/>
        <w:rPr>
          <w:snapToGrid w:val="0"/>
        </w:rPr>
      </w:pPr>
      <w:r w:rsidRPr="00C1502B">
        <w:rPr>
          <w:b/>
        </w:rPr>
        <w:t xml:space="preserve">Grading – </w:t>
      </w:r>
      <w:r w:rsidRPr="00C1502B">
        <w:rPr>
          <w:rFonts w:eastAsia="Times New Roman"/>
          <w:snapToGrid w:val="0"/>
        </w:rPr>
        <w:t>The course grade will be based on</w:t>
      </w:r>
    </w:p>
    <w:tbl>
      <w:tblPr>
        <w:tblW w:w="6311" w:type="dxa"/>
        <w:jc w:val="center"/>
        <w:tblLook w:val="0000" w:firstRow="0" w:lastRow="0" w:firstColumn="0" w:lastColumn="0" w:noHBand="0" w:noVBand="0"/>
      </w:tblPr>
      <w:tblGrid>
        <w:gridCol w:w="5329"/>
        <w:gridCol w:w="982"/>
      </w:tblGrid>
      <w:tr w:rsidR="00657DE4" w:rsidRPr="00C1502B" w14:paraId="514B58C9" w14:textId="77777777">
        <w:trPr>
          <w:jc w:val="center"/>
        </w:trPr>
        <w:tc>
          <w:tcPr>
            <w:tcW w:w="5329" w:type="dxa"/>
          </w:tcPr>
          <w:p w14:paraId="514B58C7" w14:textId="77777777" w:rsidR="00657DE4" w:rsidRPr="00C1502B" w:rsidRDefault="00657DE4" w:rsidP="00C1502B">
            <w:pPr>
              <w:jc w:val="both"/>
              <w:rPr>
                <w:rFonts w:eastAsia="Times New Roman"/>
                <w:snapToGrid w:val="0"/>
              </w:rPr>
            </w:pPr>
            <w:r w:rsidRPr="00C1502B">
              <w:rPr>
                <w:rFonts w:eastAsia="Times New Roman"/>
                <w:snapToGrid w:val="0"/>
              </w:rPr>
              <w:t xml:space="preserve">Best 10 of the weekly </w:t>
            </w:r>
            <w:r w:rsidR="000B07F0" w:rsidRPr="00C1502B">
              <w:rPr>
                <w:rFonts w:eastAsia="Times New Roman"/>
                <w:snapToGrid w:val="0"/>
              </w:rPr>
              <w:t>HW/Q</w:t>
            </w:r>
            <w:r w:rsidRPr="00C1502B">
              <w:rPr>
                <w:rFonts w:eastAsia="Times New Roman"/>
                <w:snapToGrid w:val="0"/>
              </w:rPr>
              <w:t xml:space="preserve">uizzes at </w:t>
            </w:r>
            <w:smartTag w:uri="urn:schemas-microsoft-com:office:smarttags" w:element="stockticker">
              <w:r w:rsidRPr="00C1502B">
                <w:rPr>
                  <w:snapToGrid w:val="0"/>
                </w:rPr>
                <w:t>10</w:t>
              </w:r>
              <w:r w:rsidRPr="00C1502B">
                <w:rPr>
                  <w:rFonts w:eastAsia="Times New Roman"/>
                  <w:snapToGrid w:val="0"/>
                </w:rPr>
                <w:t xml:space="preserve"> pts</w:t>
              </w:r>
            </w:smartTag>
            <w:r w:rsidRPr="00C1502B">
              <w:rPr>
                <w:rFonts w:eastAsia="Times New Roman"/>
                <w:snapToGrid w:val="0"/>
              </w:rPr>
              <w:t xml:space="preserve"> each</w:t>
            </w:r>
          </w:p>
        </w:tc>
        <w:tc>
          <w:tcPr>
            <w:tcW w:w="982" w:type="dxa"/>
          </w:tcPr>
          <w:p w14:paraId="514B58C8" w14:textId="77777777" w:rsidR="00657DE4" w:rsidRPr="00C1502B" w:rsidRDefault="00657DE4" w:rsidP="00C1502B">
            <w:pPr>
              <w:jc w:val="both"/>
              <w:rPr>
                <w:rFonts w:eastAsia="Times New Roman"/>
                <w:snapToGrid w:val="0"/>
              </w:rPr>
            </w:pPr>
            <w:smartTag w:uri="urn:schemas-microsoft-com:office:smarttags" w:element="stockticker">
              <w:r w:rsidRPr="00C1502B">
                <w:rPr>
                  <w:snapToGrid w:val="0"/>
                </w:rPr>
                <w:t>100</w:t>
              </w:r>
              <w:r w:rsidRPr="00C1502B">
                <w:rPr>
                  <w:rFonts w:eastAsia="Times New Roman"/>
                  <w:snapToGrid w:val="0"/>
                </w:rPr>
                <w:t xml:space="preserve"> pts</w:t>
              </w:r>
            </w:smartTag>
          </w:p>
        </w:tc>
      </w:tr>
      <w:tr w:rsidR="00657DE4" w:rsidRPr="00C1502B" w14:paraId="514B58CC" w14:textId="77777777">
        <w:trPr>
          <w:jc w:val="center"/>
        </w:trPr>
        <w:tc>
          <w:tcPr>
            <w:tcW w:w="5329" w:type="dxa"/>
          </w:tcPr>
          <w:p w14:paraId="514B58CA" w14:textId="77777777" w:rsidR="00657DE4" w:rsidRPr="00C1502B" w:rsidRDefault="00657DE4" w:rsidP="00C1502B">
            <w:pPr>
              <w:jc w:val="both"/>
              <w:rPr>
                <w:rFonts w:eastAsia="Times New Roman"/>
                <w:snapToGrid w:val="0"/>
              </w:rPr>
            </w:pPr>
            <w:r w:rsidRPr="00C1502B">
              <w:rPr>
                <w:rFonts w:eastAsia="Times New Roman"/>
                <w:snapToGrid w:val="0"/>
              </w:rPr>
              <w:t xml:space="preserve">Test 1 </w:t>
            </w:r>
          </w:p>
        </w:tc>
        <w:tc>
          <w:tcPr>
            <w:tcW w:w="982" w:type="dxa"/>
          </w:tcPr>
          <w:p w14:paraId="514B58CB" w14:textId="77777777" w:rsidR="00657DE4" w:rsidRPr="00C1502B" w:rsidRDefault="00657DE4" w:rsidP="00C1502B">
            <w:pPr>
              <w:jc w:val="both"/>
              <w:rPr>
                <w:rFonts w:eastAsia="Times New Roman"/>
                <w:snapToGrid w:val="0"/>
              </w:rPr>
            </w:pPr>
            <w:smartTag w:uri="urn:schemas-microsoft-com:office:smarttags" w:element="stockticker">
              <w:r w:rsidRPr="00C1502B">
                <w:rPr>
                  <w:snapToGrid w:val="0"/>
                </w:rPr>
                <w:t>100</w:t>
              </w:r>
              <w:r w:rsidRPr="00C1502B">
                <w:rPr>
                  <w:rFonts w:eastAsia="Times New Roman"/>
                  <w:snapToGrid w:val="0"/>
                </w:rPr>
                <w:t xml:space="preserve"> pts</w:t>
              </w:r>
            </w:smartTag>
          </w:p>
        </w:tc>
      </w:tr>
      <w:tr w:rsidR="00657DE4" w:rsidRPr="00C1502B" w14:paraId="514B58CF" w14:textId="77777777">
        <w:trPr>
          <w:jc w:val="center"/>
        </w:trPr>
        <w:tc>
          <w:tcPr>
            <w:tcW w:w="5329" w:type="dxa"/>
          </w:tcPr>
          <w:p w14:paraId="514B58CD" w14:textId="77777777" w:rsidR="00657DE4" w:rsidRPr="00C1502B" w:rsidRDefault="00657DE4" w:rsidP="00C1502B">
            <w:pPr>
              <w:jc w:val="both"/>
              <w:rPr>
                <w:rFonts w:eastAsia="Times New Roman"/>
                <w:snapToGrid w:val="0"/>
              </w:rPr>
            </w:pPr>
            <w:r w:rsidRPr="00C1502B">
              <w:rPr>
                <w:rFonts w:eastAsia="Times New Roman"/>
                <w:snapToGrid w:val="0"/>
              </w:rPr>
              <w:t xml:space="preserve">Test 2 </w:t>
            </w:r>
          </w:p>
        </w:tc>
        <w:tc>
          <w:tcPr>
            <w:tcW w:w="982" w:type="dxa"/>
          </w:tcPr>
          <w:p w14:paraId="514B58CE" w14:textId="77777777" w:rsidR="00657DE4" w:rsidRPr="00C1502B" w:rsidRDefault="00657DE4" w:rsidP="00C1502B">
            <w:pPr>
              <w:jc w:val="both"/>
              <w:rPr>
                <w:rFonts w:eastAsia="Times New Roman"/>
                <w:snapToGrid w:val="0"/>
              </w:rPr>
            </w:pPr>
            <w:smartTag w:uri="urn:schemas-microsoft-com:office:smarttags" w:element="stockticker">
              <w:r w:rsidRPr="00C1502B">
                <w:rPr>
                  <w:snapToGrid w:val="0"/>
                </w:rPr>
                <w:t>100</w:t>
              </w:r>
              <w:r w:rsidRPr="00C1502B">
                <w:rPr>
                  <w:rFonts w:eastAsia="Times New Roman"/>
                  <w:snapToGrid w:val="0"/>
                </w:rPr>
                <w:t xml:space="preserve"> pts</w:t>
              </w:r>
            </w:smartTag>
          </w:p>
        </w:tc>
      </w:tr>
      <w:tr w:rsidR="00657DE4" w:rsidRPr="00C1502B" w14:paraId="514B58D2" w14:textId="77777777">
        <w:trPr>
          <w:jc w:val="center"/>
        </w:trPr>
        <w:tc>
          <w:tcPr>
            <w:tcW w:w="5329" w:type="dxa"/>
          </w:tcPr>
          <w:p w14:paraId="514B58D0" w14:textId="77777777" w:rsidR="00657DE4" w:rsidRPr="00C1502B" w:rsidRDefault="00657DE4" w:rsidP="00C1502B">
            <w:pPr>
              <w:jc w:val="both"/>
              <w:rPr>
                <w:rFonts w:eastAsia="Times New Roman"/>
                <w:snapToGrid w:val="0"/>
              </w:rPr>
            </w:pPr>
            <w:r w:rsidRPr="00C1502B">
              <w:rPr>
                <w:rFonts w:eastAsia="Times New Roman"/>
                <w:snapToGrid w:val="0"/>
              </w:rPr>
              <w:t xml:space="preserve">Test 3 </w:t>
            </w:r>
          </w:p>
        </w:tc>
        <w:tc>
          <w:tcPr>
            <w:tcW w:w="982" w:type="dxa"/>
          </w:tcPr>
          <w:p w14:paraId="514B58D1" w14:textId="77777777" w:rsidR="00657DE4" w:rsidRPr="00C1502B" w:rsidRDefault="00657DE4" w:rsidP="00C1502B">
            <w:pPr>
              <w:jc w:val="both"/>
              <w:rPr>
                <w:rFonts w:eastAsia="Times New Roman"/>
                <w:snapToGrid w:val="0"/>
              </w:rPr>
            </w:pPr>
            <w:smartTag w:uri="urn:schemas-microsoft-com:office:smarttags" w:element="stockticker">
              <w:r w:rsidRPr="00C1502B">
                <w:rPr>
                  <w:snapToGrid w:val="0"/>
                </w:rPr>
                <w:t>100</w:t>
              </w:r>
              <w:r w:rsidRPr="00C1502B">
                <w:rPr>
                  <w:rFonts w:eastAsia="Times New Roman"/>
                  <w:snapToGrid w:val="0"/>
                </w:rPr>
                <w:t xml:space="preserve"> pts</w:t>
              </w:r>
            </w:smartTag>
          </w:p>
        </w:tc>
      </w:tr>
      <w:tr w:rsidR="00657DE4" w:rsidRPr="00C1502B" w14:paraId="514B58D5" w14:textId="77777777">
        <w:trPr>
          <w:jc w:val="center"/>
        </w:trPr>
        <w:tc>
          <w:tcPr>
            <w:tcW w:w="5329" w:type="dxa"/>
            <w:tcBorders>
              <w:top w:val="nil"/>
              <w:left w:val="nil"/>
              <w:bottom w:val="single" w:sz="4" w:space="0" w:color="auto"/>
              <w:right w:val="nil"/>
            </w:tcBorders>
          </w:tcPr>
          <w:p w14:paraId="514B58D3" w14:textId="77777777" w:rsidR="00657DE4" w:rsidRPr="00C1502B" w:rsidRDefault="00657DE4" w:rsidP="00C1502B">
            <w:pPr>
              <w:jc w:val="both"/>
              <w:rPr>
                <w:rFonts w:eastAsia="Times New Roman"/>
                <w:snapToGrid w:val="0"/>
              </w:rPr>
            </w:pPr>
            <w:r w:rsidRPr="00C1502B">
              <w:rPr>
                <w:rFonts w:eastAsia="Times New Roman"/>
                <w:snapToGrid w:val="0"/>
              </w:rPr>
              <w:t>Comprehensive Final Exam</w:t>
            </w:r>
          </w:p>
        </w:tc>
        <w:tc>
          <w:tcPr>
            <w:tcW w:w="982" w:type="dxa"/>
            <w:tcBorders>
              <w:top w:val="nil"/>
              <w:left w:val="nil"/>
              <w:bottom w:val="single" w:sz="4" w:space="0" w:color="auto"/>
              <w:right w:val="nil"/>
            </w:tcBorders>
          </w:tcPr>
          <w:p w14:paraId="514B58D4" w14:textId="77777777" w:rsidR="00657DE4" w:rsidRPr="00C1502B" w:rsidRDefault="00657DE4" w:rsidP="00C1502B">
            <w:pPr>
              <w:jc w:val="both"/>
              <w:rPr>
                <w:rFonts w:eastAsia="Times New Roman"/>
                <w:snapToGrid w:val="0"/>
              </w:rPr>
            </w:pPr>
            <w:smartTag w:uri="urn:schemas-microsoft-com:office:smarttags" w:element="stockticker">
              <w:r w:rsidRPr="00C1502B">
                <w:rPr>
                  <w:rFonts w:eastAsia="Times New Roman"/>
                  <w:snapToGrid w:val="0"/>
                </w:rPr>
                <w:t>100 pts</w:t>
              </w:r>
            </w:smartTag>
          </w:p>
        </w:tc>
      </w:tr>
      <w:tr w:rsidR="00657DE4" w:rsidRPr="00C1502B" w14:paraId="514B58D8" w14:textId="77777777">
        <w:trPr>
          <w:jc w:val="center"/>
        </w:trPr>
        <w:tc>
          <w:tcPr>
            <w:tcW w:w="5329" w:type="dxa"/>
            <w:tcBorders>
              <w:top w:val="single" w:sz="4" w:space="0" w:color="auto"/>
              <w:left w:val="nil"/>
              <w:bottom w:val="nil"/>
              <w:right w:val="nil"/>
            </w:tcBorders>
          </w:tcPr>
          <w:p w14:paraId="514B58D6" w14:textId="77777777" w:rsidR="00657DE4" w:rsidRPr="00C1502B" w:rsidRDefault="00657DE4" w:rsidP="00C1502B">
            <w:pPr>
              <w:jc w:val="both"/>
              <w:rPr>
                <w:rFonts w:eastAsia="Times New Roman"/>
                <w:snapToGrid w:val="0"/>
              </w:rPr>
            </w:pPr>
            <w:r w:rsidRPr="00C1502B">
              <w:rPr>
                <w:rFonts w:eastAsia="Times New Roman"/>
                <w:snapToGrid w:val="0"/>
              </w:rPr>
              <w:t>Total</w:t>
            </w:r>
          </w:p>
        </w:tc>
        <w:tc>
          <w:tcPr>
            <w:tcW w:w="982" w:type="dxa"/>
            <w:tcBorders>
              <w:top w:val="single" w:sz="4" w:space="0" w:color="auto"/>
              <w:left w:val="nil"/>
              <w:bottom w:val="nil"/>
              <w:right w:val="nil"/>
            </w:tcBorders>
          </w:tcPr>
          <w:p w14:paraId="514B58D7" w14:textId="77777777" w:rsidR="00657DE4" w:rsidRPr="00C1502B" w:rsidRDefault="00657DE4" w:rsidP="00C1502B">
            <w:pPr>
              <w:jc w:val="both"/>
              <w:rPr>
                <w:rFonts w:eastAsia="Times New Roman"/>
                <w:snapToGrid w:val="0"/>
              </w:rPr>
            </w:pPr>
            <w:smartTag w:uri="urn:schemas-microsoft-com:office:smarttags" w:element="stockticker">
              <w:r w:rsidRPr="00C1502B">
                <w:rPr>
                  <w:snapToGrid w:val="0"/>
                </w:rPr>
                <w:t>50</w:t>
              </w:r>
              <w:r w:rsidRPr="00C1502B">
                <w:rPr>
                  <w:rFonts w:eastAsia="Times New Roman"/>
                  <w:snapToGrid w:val="0"/>
                </w:rPr>
                <w:t>0 pts</w:t>
              </w:r>
            </w:smartTag>
          </w:p>
        </w:tc>
      </w:tr>
    </w:tbl>
    <w:p w14:paraId="514B58D9" w14:textId="77777777" w:rsidR="00657DE4" w:rsidRPr="00C1502B" w:rsidRDefault="00657DE4" w:rsidP="00C1502B">
      <w:pPr>
        <w:jc w:val="both"/>
        <w:rPr>
          <w:rFonts w:eastAsia="Times New Roman"/>
          <w:snapToGrid w:val="0"/>
        </w:rPr>
      </w:pPr>
    </w:p>
    <w:p w14:paraId="514B58DA" w14:textId="77777777" w:rsidR="00657DE4" w:rsidRPr="00C1502B" w:rsidRDefault="00657DE4" w:rsidP="00C1502B">
      <w:pPr>
        <w:jc w:val="both"/>
        <w:rPr>
          <w:rFonts w:eastAsia="Times New Roman"/>
          <w:snapToGrid w:val="0"/>
        </w:rPr>
      </w:pPr>
      <w:r w:rsidRPr="00C1502B">
        <w:rPr>
          <w:rFonts w:eastAsia="Times New Roman"/>
          <w:snapToGrid w:val="0"/>
        </w:rPr>
        <w:t xml:space="preserve">The course grade will be assigned according to a scale no higher than </w:t>
      </w:r>
      <w:proofErr w:type="gramStart"/>
      <w:r w:rsidRPr="00C1502B">
        <w:rPr>
          <w:rFonts w:eastAsia="Times New Roman"/>
          <w:snapToGrid w:val="0"/>
        </w:rPr>
        <w:t>A(</w:t>
      </w:r>
      <w:proofErr w:type="gramEnd"/>
      <w:r w:rsidRPr="00C1502B">
        <w:rPr>
          <w:rFonts w:eastAsia="Times New Roman"/>
          <w:snapToGrid w:val="0"/>
        </w:rPr>
        <w:t>90-100%), B(80-89%), C(70-79%), D(60-69%), F(below 60%).</w:t>
      </w:r>
    </w:p>
    <w:p w14:paraId="52E72C2E" w14:textId="77777777" w:rsidR="00751BB7" w:rsidRDefault="00751BB7" w:rsidP="00C1502B">
      <w:pPr>
        <w:jc w:val="both"/>
        <w:rPr>
          <w:b/>
        </w:rPr>
      </w:pPr>
    </w:p>
    <w:p w14:paraId="7F7F40AF" w14:textId="42DD65B0" w:rsidR="00797305" w:rsidRPr="009932D8" w:rsidRDefault="00797305" w:rsidP="009932D8">
      <w:pPr>
        <w:rPr>
          <w:rFonts w:cstheme="minorHAnsi"/>
          <w:b/>
          <w:sz w:val="22"/>
          <w:szCs w:val="22"/>
          <w:u w:val="single"/>
        </w:rPr>
      </w:pPr>
      <w:r w:rsidRPr="009932D8">
        <w:rPr>
          <w:rFonts w:cstheme="minorHAnsi"/>
          <w:b/>
          <w:sz w:val="22"/>
          <w:szCs w:val="22"/>
        </w:rPr>
        <w:t>Some important dates for Spring 2020 include:</w:t>
      </w:r>
    </w:p>
    <w:p w14:paraId="16F5A575" w14:textId="77777777" w:rsidR="00797305" w:rsidRPr="00907E33" w:rsidRDefault="00797305" w:rsidP="009932D8">
      <w:pPr>
        <w:rPr>
          <w:rFonts w:cstheme="minorHAnsi"/>
          <w:sz w:val="22"/>
          <w:szCs w:val="22"/>
        </w:rPr>
      </w:pPr>
      <w:r w:rsidRPr="00907E33">
        <w:rPr>
          <w:rFonts w:cstheme="minorHAnsi"/>
          <w:sz w:val="22"/>
          <w:szCs w:val="22"/>
        </w:rPr>
        <w:t>January 13</w:t>
      </w:r>
      <w:r w:rsidRPr="00907E33">
        <w:rPr>
          <w:rFonts w:cstheme="minorHAnsi"/>
          <w:sz w:val="22"/>
          <w:szCs w:val="22"/>
        </w:rPr>
        <w:tab/>
      </w:r>
      <w:r w:rsidRPr="00907E33">
        <w:rPr>
          <w:rFonts w:cstheme="minorHAnsi"/>
          <w:sz w:val="22"/>
          <w:szCs w:val="22"/>
        </w:rPr>
        <w:tab/>
        <w:t>First day of classes</w:t>
      </w:r>
    </w:p>
    <w:p w14:paraId="68D93F7C" w14:textId="77777777" w:rsidR="00797305" w:rsidRPr="00907E33" w:rsidRDefault="00797305" w:rsidP="009932D8">
      <w:pPr>
        <w:rPr>
          <w:rFonts w:cstheme="minorHAnsi"/>
          <w:sz w:val="22"/>
          <w:szCs w:val="22"/>
        </w:rPr>
      </w:pPr>
      <w:r w:rsidRPr="00907E33">
        <w:rPr>
          <w:rFonts w:cstheme="minorHAnsi"/>
          <w:sz w:val="22"/>
          <w:szCs w:val="22"/>
        </w:rPr>
        <w:t>January 16</w:t>
      </w:r>
      <w:r w:rsidRPr="00907E33">
        <w:rPr>
          <w:rFonts w:cstheme="minorHAnsi"/>
          <w:sz w:val="22"/>
          <w:szCs w:val="22"/>
        </w:rPr>
        <w:tab/>
      </w:r>
      <w:r w:rsidRPr="00907E33">
        <w:rPr>
          <w:rFonts w:cstheme="minorHAnsi"/>
          <w:sz w:val="22"/>
          <w:szCs w:val="22"/>
        </w:rPr>
        <w:tab/>
        <w:t>Last day to add a course or register for Spring 2020</w:t>
      </w:r>
    </w:p>
    <w:p w14:paraId="71656AE9" w14:textId="77777777" w:rsidR="00797305" w:rsidRPr="00907E33" w:rsidRDefault="00797305" w:rsidP="009932D8">
      <w:pPr>
        <w:rPr>
          <w:rFonts w:cstheme="minorHAnsi"/>
          <w:sz w:val="22"/>
          <w:szCs w:val="22"/>
        </w:rPr>
      </w:pPr>
      <w:r w:rsidRPr="00907E33">
        <w:rPr>
          <w:rFonts w:cstheme="minorHAnsi"/>
          <w:sz w:val="22"/>
          <w:szCs w:val="22"/>
        </w:rPr>
        <w:t>January 20</w:t>
      </w:r>
      <w:r w:rsidRPr="00907E33">
        <w:rPr>
          <w:rFonts w:cstheme="minorHAnsi"/>
          <w:sz w:val="22"/>
          <w:szCs w:val="22"/>
        </w:rPr>
        <w:tab/>
      </w:r>
      <w:r w:rsidRPr="00907E33">
        <w:rPr>
          <w:rFonts w:cstheme="minorHAnsi"/>
          <w:sz w:val="22"/>
          <w:szCs w:val="22"/>
        </w:rPr>
        <w:tab/>
        <w:t>Martin Luther King Jr. Holiday – NO classes</w:t>
      </w:r>
    </w:p>
    <w:p w14:paraId="5AC357F1" w14:textId="77777777" w:rsidR="00797305" w:rsidRPr="00907E33" w:rsidRDefault="00797305" w:rsidP="009932D8">
      <w:pPr>
        <w:rPr>
          <w:rFonts w:cstheme="minorHAnsi"/>
          <w:sz w:val="22"/>
          <w:szCs w:val="22"/>
        </w:rPr>
      </w:pPr>
      <w:r w:rsidRPr="00907E33">
        <w:rPr>
          <w:rFonts w:cstheme="minorHAnsi"/>
          <w:sz w:val="22"/>
          <w:szCs w:val="22"/>
        </w:rPr>
        <w:t>March 9-14</w:t>
      </w:r>
      <w:r w:rsidRPr="00907E33">
        <w:rPr>
          <w:rFonts w:cstheme="minorHAnsi"/>
          <w:sz w:val="22"/>
          <w:szCs w:val="22"/>
        </w:rPr>
        <w:tab/>
      </w:r>
      <w:r w:rsidRPr="00907E33">
        <w:rPr>
          <w:rFonts w:cstheme="minorHAnsi"/>
          <w:sz w:val="22"/>
          <w:szCs w:val="22"/>
        </w:rPr>
        <w:tab/>
        <w:t>Spring Break – NO classes</w:t>
      </w:r>
    </w:p>
    <w:p w14:paraId="13119697" w14:textId="77777777" w:rsidR="00797305" w:rsidRPr="00907E33" w:rsidRDefault="00797305" w:rsidP="009932D8">
      <w:pPr>
        <w:rPr>
          <w:rFonts w:cstheme="minorHAnsi"/>
          <w:sz w:val="22"/>
          <w:szCs w:val="22"/>
        </w:rPr>
      </w:pPr>
      <w:r w:rsidRPr="00907E33">
        <w:rPr>
          <w:rFonts w:cstheme="minorHAnsi"/>
          <w:sz w:val="22"/>
          <w:szCs w:val="22"/>
        </w:rPr>
        <w:t>April 9</w:t>
      </w:r>
      <w:r w:rsidRPr="00907E33">
        <w:rPr>
          <w:rFonts w:cstheme="minorHAnsi"/>
          <w:sz w:val="22"/>
          <w:szCs w:val="22"/>
        </w:rPr>
        <w:tab/>
      </w:r>
      <w:r w:rsidRPr="00907E33">
        <w:rPr>
          <w:rFonts w:cstheme="minorHAnsi"/>
          <w:sz w:val="22"/>
          <w:szCs w:val="22"/>
        </w:rPr>
        <w:tab/>
      </w:r>
      <w:r w:rsidRPr="00907E33">
        <w:rPr>
          <w:rFonts w:cstheme="minorHAnsi"/>
          <w:sz w:val="22"/>
          <w:szCs w:val="22"/>
        </w:rPr>
        <w:tab/>
        <w:t>Last day to drop a course; will count toward the 6-drop rule</w:t>
      </w:r>
    </w:p>
    <w:p w14:paraId="24CAD0C2" w14:textId="77777777" w:rsidR="00797305" w:rsidRPr="00907E33" w:rsidRDefault="00797305" w:rsidP="009932D8">
      <w:pPr>
        <w:rPr>
          <w:rFonts w:cstheme="minorHAnsi"/>
          <w:sz w:val="22"/>
          <w:szCs w:val="22"/>
        </w:rPr>
      </w:pPr>
      <w:r w:rsidRPr="00907E33">
        <w:rPr>
          <w:rFonts w:cstheme="minorHAnsi"/>
          <w:sz w:val="22"/>
          <w:szCs w:val="22"/>
        </w:rPr>
        <w:t>April 10-11</w:t>
      </w:r>
      <w:r w:rsidRPr="00907E33">
        <w:rPr>
          <w:rFonts w:cstheme="minorHAnsi"/>
          <w:sz w:val="22"/>
          <w:szCs w:val="22"/>
        </w:rPr>
        <w:tab/>
      </w:r>
      <w:r w:rsidRPr="00907E33">
        <w:rPr>
          <w:rFonts w:cstheme="minorHAnsi"/>
          <w:sz w:val="22"/>
          <w:szCs w:val="22"/>
        </w:rPr>
        <w:tab/>
        <w:t>Easter Holiday – NO classes</w:t>
      </w:r>
    </w:p>
    <w:p w14:paraId="13B77B45" w14:textId="29141D12" w:rsidR="00797305" w:rsidRPr="00907E33" w:rsidRDefault="00797305" w:rsidP="009932D8">
      <w:pPr>
        <w:rPr>
          <w:rFonts w:cstheme="minorHAnsi"/>
          <w:sz w:val="22"/>
          <w:szCs w:val="22"/>
        </w:rPr>
      </w:pPr>
      <w:r w:rsidRPr="00907E33">
        <w:rPr>
          <w:rFonts w:cstheme="minorHAnsi"/>
          <w:sz w:val="22"/>
          <w:szCs w:val="22"/>
        </w:rPr>
        <w:t>April 30</w:t>
      </w:r>
      <w:r w:rsidRPr="00907E33">
        <w:rPr>
          <w:rFonts w:cstheme="minorHAnsi"/>
          <w:sz w:val="22"/>
          <w:szCs w:val="22"/>
        </w:rPr>
        <w:tab/>
      </w:r>
      <w:r w:rsidRPr="00907E33">
        <w:rPr>
          <w:rFonts w:cstheme="minorHAnsi"/>
          <w:sz w:val="22"/>
          <w:szCs w:val="22"/>
        </w:rPr>
        <w:tab/>
        <w:t>Study Day – NO classes</w:t>
      </w:r>
    </w:p>
    <w:p w14:paraId="0100C2EA" w14:textId="77777777" w:rsidR="00797305" w:rsidRPr="00907E33" w:rsidRDefault="00797305" w:rsidP="009932D8">
      <w:pPr>
        <w:rPr>
          <w:rFonts w:cstheme="minorHAnsi"/>
          <w:sz w:val="22"/>
          <w:szCs w:val="22"/>
        </w:rPr>
      </w:pPr>
      <w:r w:rsidRPr="00907E33">
        <w:rPr>
          <w:rFonts w:cstheme="minorHAnsi"/>
          <w:sz w:val="22"/>
          <w:szCs w:val="22"/>
        </w:rPr>
        <w:t>May 1-7</w:t>
      </w:r>
      <w:r w:rsidRPr="00907E33">
        <w:rPr>
          <w:rFonts w:cstheme="minorHAnsi"/>
          <w:sz w:val="22"/>
          <w:szCs w:val="22"/>
        </w:rPr>
        <w:tab/>
      </w:r>
      <w:r w:rsidRPr="00907E33">
        <w:rPr>
          <w:rFonts w:cstheme="minorHAnsi"/>
          <w:sz w:val="22"/>
          <w:szCs w:val="22"/>
        </w:rPr>
        <w:tab/>
        <w:t>Final Exams</w:t>
      </w:r>
    </w:p>
    <w:p w14:paraId="15422B01" w14:textId="77777777" w:rsidR="00797305" w:rsidRPr="00907E33" w:rsidRDefault="00797305" w:rsidP="009932D8">
      <w:pPr>
        <w:rPr>
          <w:rFonts w:cstheme="minorHAnsi"/>
          <w:sz w:val="22"/>
          <w:szCs w:val="22"/>
        </w:rPr>
      </w:pPr>
      <w:r w:rsidRPr="00907E33">
        <w:rPr>
          <w:rFonts w:cstheme="minorHAnsi"/>
          <w:sz w:val="22"/>
          <w:szCs w:val="22"/>
        </w:rPr>
        <w:lastRenderedPageBreak/>
        <w:t>May 7</w:t>
      </w:r>
      <w:r w:rsidRPr="00907E33">
        <w:rPr>
          <w:rFonts w:cstheme="minorHAnsi"/>
          <w:sz w:val="22"/>
          <w:szCs w:val="22"/>
        </w:rPr>
        <w:tab/>
      </w:r>
      <w:r w:rsidRPr="00907E33">
        <w:rPr>
          <w:rFonts w:cstheme="minorHAnsi"/>
          <w:sz w:val="22"/>
          <w:szCs w:val="22"/>
        </w:rPr>
        <w:tab/>
      </w:r>
      <w:r w:rsidRPr="00907E33">
        <w:rPr>
          <w:rFonts w:cstheme="minorHAnsi"/>
          <w:sz w:val="22"/>
          <w:szCs w:val="22"/>
        </w:rPr>
        <w:tab/>
        <w:t>Spring classes end; Official last day of the term</w:t>
      </w:r>
    </w:p>
    <w:p w14:paraId="26788E59" w14:textId="77777777" w:rsidR="00797305" w:rsidRPr="00907E33" w:rsidRDefault="00797305" w:rsidP="009932D8">
      <w:pPr>
        <w:rPr>
          <w:rFonts w:cstheme="minorHAnsi"/>
          <w:sz w:val="22"/>
          <w:szCs w:val="22"/>
        </w:rPr>
      </w:pPr>
      <w:r w:rsidRPr="00907E33">
        <w:rPr>
          <w:rFonts w:cstheme="minorHAnsi"/>
          <w:sz w:val="22"/>
          <w:szCs w:val="22"/>
        </w:rPr>
        <w:t>May 8-9</w:t>
      </w:r>
      <w:r w:rsidRPr="00907E33">
        <w:rPr>
          <w:rFonts w:cstheme="minorHAnsi"/>
          <w:sz w:val="22"/>
          <w:szCs w:val="22"/>
        </w:rPr>
        <w:tab/>
      </w:r>
      <w:r w:rsidRPr="00907E33">
        <w:rPr>
          <w:rFonts w:cstheme="minorHAnsi"/>
          <w:sz w:val="22"/>
          <w:szCs w:val="22"/>
        </w:rPr>
        <w:tab/>
        <w:t>Commencement Exercises</w:t>
      </w:r>
    </w:p>
    <w:p w14:paraId="1F0F280B" w14:textId="77777777" w:rsidR="009932D8" w:rsidRDefault="009932D8" w:rsidP="009932D8">
      <w:pPr>
        <w:jc w:val="both"/>
        <w:rPr>
          <w:b/>
        </w:rPr>
      </w:pPr>
    </w:p>
    <w:p w14:paraId="6901784C" w14:textId="7870EBB3" w:rsidR="009932D8" w:rsidRPr="00C1502B" w:rsidRDefault="009932D8" w:rsidP="009932D8">
      <w:pPr>
        <w:jc w:val="both"/>
        <w:rPr>
          <w:b/>
        </w:rPr>
      </w:pPr>
      <w:r w:rsidRPr="00C1502B">
        <w:rPr>
          <w:b/>
        </w:rPr>
        <w:t>UTRGV Policy Statements</w:t>
      </w:r>
    </w:p>
    <w:p w14:paraId="0E62F424" w14:textId="3AE21309" w:rsidR="00797305" w:rsidRPr="006A0B62" w:rsidRDefault="00797305" w:rsidP="00797305">
      <w:pPr>
        <w:rPr>
          <w:rFonts w:eastAsia="Calibri" w:cstheme="minorHAnsi"/>
          <w:color w:val="808080" w:themeColor="background1" w:themeShade="80"/>
          <w:sz w:val="22"/>
          <w:szCs w:val="22"/>
        </w:rPr>
      </w:pPr>
      <w:r w:rsidRPr="00907E33">
        <w:rPr>
          <w:rFonts w:eastAsia="Calibri" w:cstheme="minorHAnsi"/>
          <w:b/>
          <w:bCs/>
          <w:sz w:val="22"/>
          <w:szCs w:val="22"/>
          <w:u w:val="single"/>
        </w:rPr>
        <w:t>STUDENTS WITH DISABILITIES</w:t>
      </w:r>
      <w:r w:rsidRPr="00907E33">
        <w:rPr>
          <w:rFonts w:eastAsia="Calibri" w:cstheme="minorHAnsi"/>
          <w:b/>
          <w:bCs/>
          <w:sz w:val="22"/>
          <w:szCs w:val="22"/>
        </w:rPr>
        <w:t>:</w:t>
      </w:r>
      <w:r w:rsidRPr="00907E33">
        <w:rPr>
          <w:rFonts w:eastAsia="Calibri" w:cstheme="minorHAnsi"/>
          <w:sz w:val="22"/>
          <w:szCs w:val="22"/>
        </w:rPr>
        <w:t xml:space="preserve"> </w:t>
      </w:r>
    </w:p>
    <w:p w14:paraId="053CB28D" w14:textId="77777777" w:rsidR="00797305" w:rsidRPr="00907E33" w:rsidRDefault="00797305" w:rsidP="003C455C">
      <w:pPr>
        <w:jc w:val="both"/>
        <w:rPr>
          <w:rFonts w:eastAsia="Calibri" w:cstheme="minorHAnsi"/>
          <w:sz w:val="22"/>
          <w:szCs w:val="22"/>
        </w:rPr>
      </w:pPr>
      <w:bookmarkStart w:id="0" w:name="_Hlk14087121"/>
      <w:r w:rsidRPr="004058DA">
        <w:rPr>
          <w:rFonts w:eastAsia="Calibri" w:cstheme="minorHAnsi"/>
          <w:sz w:val="22"/>
          <w:szCs w:val="22"/>
        </w:rPr>
        <w:t>Students with a documented disability (physical, psychological, learning, or other disability which affects academic performance) who would like to receive academic accommodations should contact</w:t>
      </w:r>
      <w:r w:rsidRPr="00907E33">
        <w:rPr>
          <w:rFonts w:eastAsia="Calibri" w:cstheme="minorHAnsi"/>
          <w:sz w:val="22"/>
          <w:szCs w:val="22"/>
        </w:rPr>
        <w:t xml:space="preserve"> </w:t>
      </w:r>
      <w:r w:rsidRPr="004058DA">
        <w:rPr>
          <w:rFonts w:eastAsia="Calibri" w:cstheme="minorHAnsi"/>
          <w:b/>
          <w:bCs/>
          <w:sz w:val="22"/>
          <w:szCs w:val="22"/>
        </w:rPr>
        <w:t>Student Accessibility Services (SAS)</w:t>
      </w:r>
      <w:r w:rsidRPr="00907E33">
        <w:rPr>
          <w:rFonts w:eastAsia="Calibri" w:cstheme="minorHAnsi"/>
          <w:b/>
          <w:bCs/>
          <w:sz w:val="22"/>
          <w:szCs w:val="22"/>
        </w:rPr>
        <w:t xml:space="preserve"> </w:t>
      </w:r>
      <w:r w:rsidRPr="004058DA">
        <w:rPr>
          <w:rFonts w:eastAsia="Calibri" w:cstheme="minorHAnsi"/>
          <w:sz w:val="22"/>
          <w:szCs w:val="22"/>
        </w:rPr>
        <w:t>for additional information</w:t>
      </w:r>
      <w:r w:rsidRPr="00907E33">
        <w:rPr>
          <w:rFonts w:eastAsia="Calibri" w:cstheme="minorHAnsi"/>
          <w:sz w:val="22"/>
          <w:szCs w:val="22"/>
        </w:rPr>
        <w:t>.</w:t>
      </w:r>
      <w:r w:rsidRPr="004058DA">
        <w:rPr>
          <w:rFonts w:eastAsia="Calibri" w:cstheme="minorHAnsi"/>
          <w:sz w:val="22"/>
          <w:szCs w:val="22"/>
        </w:rPr>
        <w:t xml:space="preserve"> </w:t>
      </w:r>
      <w:proofErr w:type="gramStart"/>
      <w:r w:rsidRPr="004058DA">
        <w:rPr>
          <w:rFonts w:eastAsia="Calibri" w:cstheme="minorHAnsi"/>
          <w:sz w:val="22"/>
          <w:szCs w:val="22"/>
        </w:rPr>
        <w:t>In order for</w:t>
      </w:r>
      <w:proofErr w:type="gramEnd"/>
      <w:r w:rsidRPr="004058DA">
        <w:rPr>
          <w:rFonts w:eastAsia="Calibri" w:cstheme="minorHAnsi"/>
          <w:sz w:val="22"/>
          <w:szCs w:val="22"/>
        </w:rPr>
        <w:t xml:space="preserve"> accommodation requests to be considered for approval, the student is responsible for providing sufficient documentation of the disability to SAS and participating in an interactive discussion with SAS staff. Accommodations may be requested at any </w:t>
      </w:r>
      <w:r w:rsidRPr="00907E33">
        <w:rPr>
          <w:rFonts w:eastAsia="Calibri" w:cstheme="minorHAnsi"/>
          <w:sz w:val="22"/>
          <w:szCs w:val="22"/>
        </w:rPr>
        <w:t>time but</w:t>
      </w:r>
      <w:r w:rsidRPr="004058DA">
        <w:rPr>
          <w:rFonts w:eastAsia="Calibri" w:cstheme="minorHAnsi"/>
          <w:sz w:val="22"/>
          <w:szCs w:val="22"/>
        </w:rPr>
        <w:t xml:space="preserve"> are not retroactive.</w:t>
      </w:r>
      <w:r w:rsidRPr="00907E33">
        <w:rPr>
          <w:rFonts w:eastAsia="Calibri" w:cstheme="minorHAnsi"/>
          <w:sz w:val="22"/>
          <w:szCs w:val="22"/>
        </w:rPr>
        <w:t xml:space="preserve"> </w:t>
      </w:r>
      <w:r w:rsidRPr="004058DA">
        <w:rPr>
          <w:rFonts w:eastAsia="Calibri" w:cstheme="minorHAnsi"/>
          <w:sz w:val="22"/>
          <w:szCs w:val="22"/>
        </w:rPr>
        <w:t>Please contact SAS early in the semester/module for guidance. Students who</w:t>
      </w:r>
      <w:r w:rsidRPr="00907E33">
        <w:rPr>
          <w:rFonts w:eastAsia="Calibri" w:cstheme="minorHAnsi"/>
          <w:sz w:val="22"/>
          <w:szCs w:val="22"/>
        </w:rPr>
        <w:t xml:space="preserve"> </w:t>
      </w:r>
      <w:r w:rsidRPr="004058DA">
        <w:rPr>
          <w:rFonts w:eastAsia="Calibri" w:cstheme="minorHAnsi"/>
          <w:sz w:val="22"/>
          <w:szCs w:val="22"/>
        </w:rPr>
        <w:t>experience</w:t>
      </w:r>
      <w:r w:rsidRPr="00907E33">
        <w:rPr>
          <w:rFonts w:eastAsia="Calibri" w:cstheme="minorHAnsi"/>
          <w:sz w:val="22"/>
          <w:szCs w:val="22"/>
        </w:rPr>
        <w:t xml:space="preserve"> </w:t>
      </w:r>
      <w:r w:rsidRPr="004058DA">
        <w:rPr>
          <w:rFonts w:eastAsia="Calibri" w:cstheme="minorHAnsi"/>
          <w:sz w:val="22"/>
          <w:szCs w:val="22"/>
        </w:rPr>
        <w:t>a broken bone, severe injury, or undergo surgery may also be eligible for temporary accommodations.</w:t>
      </w:r>
    </w:p>
    <w:p w14:paraId="049A788A" w14:textId="77777777" w:rsidR="00797305" w:rsidRPr="00362757" w:rsidRDefault="00797305" w:rsidP="003C455C">
      <w:pPr>
        <w:jc w:val="both"/>
        <w:rPr>
          <w:rFonts w:eastAsia="Calibri" w:cstheme="minorHAnsi"/>
          <w:sz w:val="16"/>
          <w:szCs w:val="16"/>
        </w:rPr>
      </w:pPr>
    </w:p>
    <w:p w14:paraId="350EFD56" w14:textId="77777777" w:rsidR="00797305" w:rsidRPr="004058DA" w:rsidRDefault="00797305" w:rsidP="003C455C">
      <w:pPr>
        <w:jc w:val="both"/>
        <w:rPr>
          <w:rFonts w:eastAsia="Calibri" w:cstheme="minorHAnsi"/>
          <w:b/>
          <w:bCs/>
          <w:sz w:val="22"/>
          <w:szCs w:val="22"/>
        </w:rPr>
      </w:pPr>
      <w:r w:rsidRPr="004058DA">
        <w:rPr>
          <w:rFonts w:eastAsia="Calibri" w:cstheme="minorHAnsi"/>
          <w:b/>
          <w:bCs/>
          <w:sz w:val="22"/>
          <w:szCs w:val="22"/>
        </w:rPr>
        <w:t>Pregnancy, Pregnancy-related, and Parenting Accommodations</w:t>
      </w:r>
    </w:p>
    <w:p w14:paraId="1B19A8EA" w14:textId="77777777" w:rsidR="00797305" w:rsidRPr="004058DA" w:rsidRDefault="00797305" w:rsidP="003C455C">
      <w:pPr>
        <w:jc w:val="both"/>
        <w:rPr>
          <w:rFonts w:eastAsia="Calibri" w:cstheme="minorHAnsi"/>
          <w:sz w:val="22"/>
          <w:szCs w:val="22"/>
        </w:rPr>
      </w:pPr>
      <w:r w:rsidRPr="004058DA">
        <w:rPr>
          <w:rFonts w:eastAsia="Calibri" w:cstheme="minorHAnsi"/>
          <w:sz w:val="22"/>
          <w:szCs w:val="22"/>
        </w:rPr>
        <w:t>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are encouraged to contact Student Accessibility Services for additional information and to request accommodations.</w:t>
      </w:r>
    </w:p>
    <w:p w14:paraId="4271C870" w14:textId="77777777" w:rsidR="00797305" w:rsidRPr="00362757" w:rsidRDefault="00797305" w:rsidP="003C455C">
      <w:pPr>
        <w:jc w:val="both"/>
        <w:rPr>
          <w:rFonts w:eastAsia="Calibri" w:cstheme="minorHAnsi"/>
          <w:b/>
          <w:bCs/>
          <w:sz w:val="16"/>
          <w:szCs w:val="16"/>
        </w:rPr>
      </w:pPr>
    </w:p>
    <w:p w14:paraId="222349B4" w14:textId="77777777" w:rsidR="00797305" w:rsidRPr="004058DA" w:rsidRDefault="00797305" w:rsidP="003C455C">
      <w:pPr>
        <w:jc w:val="both"/>
        <w:rPr>
          <w:rFonts w:eastAsia="Calibri" w:cstheme="minorHAnsi"/>
          <w:b/>
          <w:bCs/>
          <w:sz w:val="22"/>
          <w:szCs w:val="22"/>
        </w:rPr>
      </w:pPr>
      <w:r w:rsidRPr="004058DA">
        <w:rPr>
          <w:rFonts w:eastAsia="Calibri" w:cstheme="minorHAnsi"/>
          <w:b/>
          <w:bCs/>
          <w:sz w:val="22"/>
          <w:szCs w:val="22"/>
        </w:rPr>
        <w:t>Student Accessibility Services:</w:t>
      </w:r>
    </w:p>
    <w:p w14:paraId="3ECF5023" w14:textId="77777777" w:rsidR="00797305" w:rsidRPr="004058DA" w:rsidRDefault="00797305" w:rsidP="003C455C">
      <w:pPr>
        <w:jc w:val="both"/>
        <w:rPr>
          <w:rFonts w:eastAsia="Calibri" w:cstheme="minorHAnsi"/>
          <w:sz w:val="22"/>
          <w:szCs w:val="22"/>
        </w:rPr>
      </w:pPr>
      <w:r w:rsidRPr="004058DA">
        <w:rPr>
          <w:rFonts w:eastAsia="Calibri" w:cstheme="minorHAnsi"/>
          <w:b/>
          <w:bCs/>
          <w:sz w:val="22"/>
          <w:szCs w:val="22"/>
        </w:rPr>
        <w:t>Brownsville Campus</w:t>
      </w:r>
      <w:r w:rsidRPr="004058DA">
        <w:rPr>
          <w:rFonts w:eastAsia="Calibri" w:cstheme="minorHAnsi"/>
          <w:sz w:val="22"/>
          <w:szCs w:val="22"/>
        </w:rPr>
        <w:t xml:space="preserve">: Student Accessibility Services </w:t>
      </w:r>
      <w:proofErr w:type="gramStart"/>
      <w:r w:rsidRPr="004058DA">
        <w:rPr>
          <w:rFonts w:eastAsia="Calibri" w:cstheme="minorHAnsi"/>
          <w:sz w:val="22"/>
          <w:szCs w:val="22"/>
        </w:rPr>
        <w:t>is located in</w:t>
      </w:r>
      <w:proofErr w:type="gramEnd"/>
      <w:r w:rsidRPr="004058DA">
        <w:rPr>
          <w:rFonts w:eastAsia="Calibri" w:cstheme="minorHAnsi"/>
          <w:sz w:val="22"/>
          <w:szCs w:val="22"/>
        </w:rPr>
        <w:t xml:space="preserve"> 1.107 in the Music and Learning Center building (BMSLC) and can be contacted by phone at (956) 882-7374 or via email at </w:t>
      </w:r>
      <w:hyperlink r:id="rId10" w:history="1">
        <w:r w:rsidRPr="004058DA">
          <w:rPr>
            <w:rStyle w:val="Hyperlink"/>
            <w:rFonts w:eastAsia="Calibri" w:cstheme="minorHAnsi"/>
            <w:sz w:val="22"/>
            <w:szCs w:val="22"/>
          </w:rPr>
          <w:t>ability@utrgv.edu</w:t>
        </w:r>
      </w:hyperlink>
      <w:r w:rsidRPr="004058DA">
        <w:rPr>
          <w:rFonts w:eastAsia="Calibri" w:cstheme="minorHAnsi"/>
          <w:sz w:val="22"/>
          <w:szCs w:val="22"/>
        </w:rPr>
        <w:t xml:space="preserve">. </w:t>
      </w:r>
    </w:p>
    <w:p w14:paraId="32422F13" w14:textId="77777777" w:rsidR="00797305" w:rsidRPr="00362757" w:rsidRDefault="00797305" w:rsidP="003C455C">
      <w:pPr>
        <w:jc w:val="both"/>
        <w:rPr>
          <w:rFonts w:eastAsia="Calibri" w:cstheme="minorHAnsi"/>
          <w:b/>
          <w:bCs/>
          <w:sz w:val="16"/>
          <w:szCs w:val="16"/>
        </w:rPr>
      </w:pPr>
    </w:p>
    <w:p w14:paraId="3014B602" w14:textId="77777777" w:rsidR="00797305" w:rsidRPr="00907E33" w:rsidRDefault="00797305" w:rsidP="003C455C">
      <w:pPr>
        <w:jc w:val="both"/>
        <w:rPr>
          <w:rFonts w:eastAsia="Calibri" w:cstheme="minorHAnsi"/>
          <w:sz w:val="22"/>
          <w:szCs w:val="22"/>
        </w:rPr>
      </w:pPr>
      <w:r w:rsidRPr="004058DA">
        <w:rPr>
          <w:rFonts w:eastAsia="Calibri" w:cstheme="minorHAnsi"/>
          <w:b/>
          <w:bCs/>
          <w:sz w:val="22"/>
          <w:szCs w:val="22"/>
        </w:rPr>
        <w:t>Edinburg Campus:</w:t>
      </w:r>
      <w:r w:rsidRPr="004058DA">
        <w:rPr>
          <w:rFonts w:eastAsia="Calibri" w:cstheme="minorHAnsi"/>
          <w:sz w:val="22"/>
          <w:szCs w:val="22"/>
        </w:rPr>
        <w:t xml:space="preserve"> Student Accessibility Services </w:t>
      </w:r>
      <w:proofErr w:type="gramStart"/>
      <w:r w:rsidRPr="004058DA">
        <w:rPr>
          <w:rFonts w:eastAsia="Calibri" w:cstheme="minorHAnsi"/>
          <w:sz w:val="22"/>
          <w:szCs w:val="22"/>
        </w:rPr>
        <w:t>is located in</w:t>
      </w:r>
      <w:proofErr w:type="gramEnd"/>
      <w:r w:rsidRPr="004058DA">
        <w:rPr>
          <w:rFonts w:eastAsia="Calibri" w:cstheme="minorHAnsi"/>
          <w:sz w:val="22"/>
          <w:szCs w:val="22"/>
        </w:rPr>
        <w:t xml:space="preserve"> 108 University Center (EUCTR) and can be contacted by phone at (956) 665-7005 or via email at </w:t>
      </w:r>
      <w:hyperlink r:id="rId11" w:history="1">
        <w:r w:rsidRPr="004058DA">
          <w:rPr>
            <w:rStyle w:val="Hyperlink"/>
            <w:rFonts w:eastAsia="Calibri" w:cstheme="minorHAnsi"/>
            <w:sz w:val="22"/>
            <w:szCs w:val="22"/>
          </w:rPr>
          <w:t>ability@utrgv.edu</w:t>
        </w:r>
      </w:hyperlink>
      <w:r w:rsidRPr="004058DA">
        <w:rPr>
          <w:rFonts w:eastAsia="Calibri" w:cstheme="minorHAnsi"/>
          <w:sz w:val="22"/>
          <w:szCs w:val="22"/>
        </w:rPr>
        <w:t xml:space="preserve">. </w:t>
      </w:r>
    </w:p>
    <w:p w14:paraId="259736DB" w14:textId="77777777" w:rsidR="00797305" w:rsidRPr="00362757" w:rsidRDefault="00797305" w:rsidP="003C455C">
      <w:pPr>
        <w:jc w:val="both"/>
        <w:rPr>
          <w:rFonts w:cstheme="minorHAnsi"/>
          <w:b/>
          <w:sz w:val="16"/>
          <w:szCs w:val="16"/>
          <w:u w:val="single"/>
        </w:rPr>
      </w:pPr>
    </w:p>
    <w:p w14:paraId="35203804" w14:textId="0E010CC6" w:rsidR="00797305" w:rsidRPr="007E7353" w:rsidRDefault="00797305" w:rsidP="003C455C">
      <w:pPr>
        <w:jc w:val="both"/>
        <w:rPr>
          <w:rFonts w:cstheme="minorHAnsi"/>
          <w:color w:val="F05023"/>
          <w:sz w:val="22"/>
          <w:szCs w:val="22"/>
        </w:rPr>
      </w:pPr>
      <w:r w:rsidRPr="00907E33">
        <w:rPr>
          <w:rFonts w:cstheme="minorHAnsi"/>
          <w:b/>
          <w:sz w:val="22"/>
          <w:szCs w:val="22"/>
          <w:u w:val="single"/>
        </w:rPr>
        <w:t>MANDATORY COURSE EVALUATION PERIOD</w:t>
      </w:r>
      <w:r w:rsidRPr="00907E33">
        <w:rPr>
          <w:rFonts w:cstheme="minorHAnsi"/>
          <w:b/>
          <w:sz w:val="22"/>
          <w:szCs w:val="22"/>
        </w:rPr>
        <w:t>:</w:t>
      </w:r>
      <w:r w:rsidRPr="00907E33">
        <w:rPr>
          <w:rFonts w:cstheme="minorHAnsi"/>
          <w:sz w:val="22"/>
          <w:szCs w:val="22"/>
        </w:rPr>
        <w:t xml:space="preserve"> </w:t>
      </w:r>
    </w:p>
    <w:p w14:paraId="3011BDBB" w14:textId="77777777" w:rsidR="00797305" w:rsidRPr="00907E33" w:rsidRDefault="00797305" w:rsidP="003C455C">
      <w:pPr>
        <w:jc w:val="both"/>
        <w:rPr>
          <w:rFonts w:cstheme="minorHAnsi"/>
          <w:sz w:val="22"/>
          <w:szCs w:val="22"/>
        </w:rPr>
      </w:pPr>
      <w:r w:rsidRPr="00907E33">
        <w:rPr>
          <w:rFonts w:cstheme="minorHAnsi"/>
          <w:sz w:val="22"/>
          <w:szCs w:val="22"/>
        </w:rPr>
        <w:t>Students are required to complete an ONLINE evaluation of this course, accessed through your UTRGV account (</w:t>
      </w:r>
      <w:hyperlink r:id="rId12" w:history="1">
        <w:r w:rsidRPr="00907E33">
          <w:rPr>
            <w:rStyle w:val="Hyperlink"/>
            <w:rFonts w:cstheme="minorHAnsi"/>
            <w:sz w:val="22"/>
            <w:szCs w:val="22"/>
          </w:rPr>
          <w:t>http://my.utrgv.edu</w:t>
        </w:r>
      </w:hyperlink>
      <w:r w:rsidRPr="00907E33">
        <w:rPr>
          <w:rFonts w:cstheme="minorHAnsi"/>
          <w:sz w:val="22"/>
          <w:szCs w:val="22"/>
        </w:rPr>
        <w:t>); you will be contacted through email with further instructions.  Students who complete their evaluations will have priority access to their grades. Online evaluations will be available on or about:</w:t>
      </w:r>
    </w:p>
    <w:p w14:paraId="630FAB8C" w14:textId="77777777" w:rsidR="00797305" w:rsidRPr="00907E33" w:rsidRDefault="00797305" w:rsidP="003C455C">
      <w:pPr>
        <w:jc w:val="both"/>
        <w:rPr>
          <w:rFonts w:cstheme="minorHAnsi"/>
          <w:sz w:val="22"/>
          <w:szCs w:val="22"/>
        </w:rPr>
      </w:pPr>
      <w:r w:rsidRPr="00907E33">
        <w:rPr>
          <w:rFonts w:cstheme="minorHAnsi"/>
          <w:sz w:val="22"/>
          <w:szCs w:val="22"/>
        </w:rPr>
        <w:t>Module 1</w:t>
      </w:r>
      <w:r w:rsidRPr="00907E33">
        <w:rPr>
          <w:rFonts w:cstheme="minorHAnsi"/>
          <w:sz w:val="22"/>
          <w:szCs w:val="22"/>
        </w:rPr>
        <w:tab/>
      </w:r>
      <w:r w:rsidRPr="00907E33">
        <w:rPr>
          <w:rFonts w:cstheme="minorHAnsi"/>
          <w:sz w:val="22"/>
          <w:szCs w:val="22"/>
        </w:rPr>
        <w:tab/>
        <w:t>Feb 19-25, 2020</w:t>
      </w:r>
    </w:p>
    <w:p w14:paraId="6B35175D" w14:textId="77777777" w:rsidR="00797305" w:rsidRPr="00907E33" w:rsidRDefault="00797305" w:rsidP="003C455C">
      <w:pPr>
        <w:jc w:val="both"/>
        <w:rPr>
          <w:rFonts w:cstheme="minorHAnsi"/>
          <w:sz w:val="22"/>
          <w:szCs w:val="22"/>
        </w:rPr>
      </w:pPr>
      <w:r w:rsidRPr="00907E33">
        <w:rPr>
          <w:rFonts w:cstheme="minorHAnsi"/>
          <w:sz w:val="22"/>
          <w:szCs w:val="22"/>
        </w:rPr>
        <w:t>Module 2</w:t>
      </w:r>
      <w:r w:rsidRPr="00907E33">
        <w:rPr>
          <w:rFonts w:cstheme="minorHAnsi"/>
          <w:sz w:val="22"/>
          <w:szCs w:val="22"/>
        </w:rPr>
        <w:tab/>
      </w:r>
      <w:r w:rsidRPr="00907E33">
        <w:rPr>
          <w:rFonts w:cstheme="minorHAnsi"/>
          <w:sz w:val="22"/>
          <w:szCs w:val="22"/>
        </w:rPr>
        <w:tab/>
        <w:t>Feb 15-21, 2020</w:t>
      </w:r>
    </w:p>
    <w:p w14:paraId="6ECE2E23" w14:textId="77777777" w:rsidR="00797305" w:rsidRPr="00907E33" w:rsidRDefault="00797305" w:rsidP="003C455C">
      <w:pPr>
        <w:jc w:val="both"/>
        <w:rPr>
          <w:rFonts w:cstheme="minorHAnsi"/>
          <w:sz w:val="22"/>
          <w:szCs w:val="22"/>
        </w:rPr>
      </w:pPr>
      <w:r w:rsidRPr="00907E33">
        <w:rPr>
          <w:rFonts w:cstheme="minorHAnsi"/>
          <w:sz w:val="22"/>
          <w:szCs w:val="22"/>
        </w:rPr>
        <w:lastRenderedPageBreak/>
        <w:t xml:space="preserve">Full </w:t>
      </w:r>
      <w:r>
        <w:rPr>
          <w:rFonts w:cstheme="minorHAnsi"/>
          <w:sz w:val="22"/>
          <w:szCs w:val="22"/>
        </w:rPr>
        <w:t>Spring</w:t>
      </w:r>
      <w:r w:rsidRPr="00907E33">
        <w:rPr>
          <w:rFonts w:cstheme="minorHAnsi"/>
          <w:sz w:val="22"/>
          <w:szCs w:val="22"/>
        </w:rPr>
        <w:t xml:space="preserve"> Semester</w:t>
      </w:r>
      <w:r w:rsidRPr="00907E33">
        <w:rPr>
          <w:rFonts w:cstheme="minorHAnsi"/>
          <w:sz w:val="22"/>
          <w:szCs w:val="22"/>
        </w:rPr>
        <w:tab/>
        <w:t>April 10-29, 20</w:t>
      </w:r>
      <w:r>
        <w:rPr>
          <w:rFonts w:cstheme="minorHAnsi"/>
          <w:sz w:val="22"/>
          <w:szCs w:val="22"/>
        </w:rPr>
        <w:t>20</w:t>
      </w:r>
    </w:p>
    <w:bookmarkEnd w:id="0"/>
    <w:p w14:paraId="4A961A30" w14:textId="77777777" w:rsidR="003C455C" w:rsidRDefault="003C455C" w:rsidP="003C455C">
      <w:pPr>
        <w:jc w:val="both"/>
        <w:rPr>
          <w:rFonts w:cstheme="minorHAnsi"/>
          <w:b/>
          <w:sz w:val="22"/>
          <w:szCs w:val="22"/>
          <w:u w:val="single"/>
        </w:rPr>
      </w:pPr>
    </w:p>
    <w:p w14:paraId="2F0DB66E" w14:textId="2760E0A0" w:rsidR="00797305" w:rsidRPr="00907E33" w:rsidRDefault="00797305" w:rsidP="003C455C">
      <w:pPr>
        <w:jc w:val="both"/>
        <w:rPr>
          <w:rFonts w:cstheme="minorHAnsi"/>
          <w:color w:val="808080" w:themeColor="background1" w:themeShade="80"/>
          <w:sz w:val="22"/>
          <w:szCs w:val="22"/>
        </w:rPr>
      </w:pPr>
      <w:r w:rsidRPr="00907E33">
        <w:rPr>
          <w:rFonts w:cstheme="minorHAnsi"/>
          <w:b/>
          <w:sz w:val="22"/>
          <w:szCs w:val="22"/>
          <w:u w:val="single"/>
        </w:rPr>
        <w:t>ATTENDANCE</w:t>
      </w:r>
      <w:r w:rsidRPr="00907E33">
        <w:rPr>
          <w:rFonts w:cstheme="minorHAnsi"/>
          <w:b/>
          <w:sz w:val="22"/>
          <w:szCs w:val="22"/>
        </w:rPr>
        <w:t>:</w:t>
      </w:r>
      <w:r w:rsidRPr="00907E33">
        <w:rPr>
          <w:rFonts w:cstheme="minorHAnsi"/>
          <w:sz w:val="22"/>
          <w:szCs w:val="22"/>
        </w:rPr>
        <w:t xml:space="preserve"> </w:t>
      </w:r>
    </w:p>
    <w:p w14:paraId="3C1C7034" w14:textId="77777777" w:rsidR="00797305" w:rsidRPr="00907E33" w:rsidRDefault="00797305" w:rsidP="003C455C">
      <w:pPr>
        <w:jc w:val="both"/>
        <w:rPr>
          <w:rFonts w:cstheme="minorHAnsi"/>
          <w:sz w:val="22"/>
          <w:szCs w:val="22"/>
        </w:rPr>
      </w:pPr>
      <w:r w:rsidRPr="00907E33">
        <w:rPr>
          <w:rFonts w:cstheme="minorHAnsi"/>
          <w:sz w:val="22"/>
          <w:szCs w:val="22"/>
        </w:rPr>
        <w:t xml:space="preserve">Students are expected to attend all scheduled classes and may be dropped from the course for excessive absences. </w:t>
      </w:r>
      <w:r w:rsidRPr="00907E33">
        <w:rPr>
          <w:rFonts w:cstheme="minorHAnsi"/>
          <w:i/>
          <w:sz w:val="22"/>
          <w:szCs w:val="22"/>
        </w:rPr>
        <w:t xml:space="preserve"> </w:t>
      </w:r>
      <w:r w:rsidRPr="00907E33">
        <w:rPr>
          <w:rFonts w:cstheme="minorHAnsi"/>
          <w:sz w:val="22"/>
          <w:szCs w:val="22"/>
        </w:rPr>
        <w:t xml:space="preserve">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2A09575B" w14:textId="77777777" w:rsidR="00797305" w:rsidRPr="00362757" w:rsidRDefault="00797305" w:rsidP="003C455C">
      <w:pPr>
        <w:jc w:val="both"/>
        <w:rPr>
          <w:rFonts w:cstheme="minorHAnsi"/>
          <w:sz w:val="16"/>
          <w:szCs w:val="16"/>
        </w:rPr>
      </w:pPr>
    </w:p>
    <w:p w14:paraId="4368F714" w14:textId="7EE71851" w:rsidR="00797305" w:rsidRPr="00907E33" w:rsidRDefault="00797305" w:rsidP="003C455C">
      <w:pPr>
        <w:jc w:val="both"/>
        <w:rPr>
          <w:rFonts w:eastAsia="Calibri" w:cstheme="minorHAnsi"/>
          <w:sz w:val="22"/>
          <w:szCs w:val="22"/>
        </w:rPr>
      </w:pPr>
      <w:r w:rsidRPr="00907E33">
        <w:rPr>
          <w:rFonts w:eastAsia="Calibri" w:cstheme="minorHAnsi"/>
          <w:b/>
          <w:bCs/>
          <w:sz w:val="22"/>
          <w:szCs w:val="22"/>
          <w:u w:val="single"/>
        </w:rPr>
        <w:t>SCHOLASTIC DISHONESTY</w:t>
      </w:r>
      <w:r w:rsidRPr="00907E33">
        <w:rPr>
          <w:rFonts w:eastAsia="Calibri" w:cstheme="minorHAnsi"/>
          <w:b/>
          <w:bCs/>
          <w:sz w:val="22"/>
          <w:szCs w:val="22"/>
        </w:rPr>
        <w:t>:</w:t>
      </w:r>
      <w:r w:rsidRPr="00907E33">
        <w:rPr>
          <w:rFonts w:eastAsia="Calibri" w:cstheme="minorHAnsi"/>
          <w:sz w:val="22"/>
          <w:szCs w:val="22"/>
        </w:rPr>
        <w:t xml:space="preserve"> </w:t>
      </w:r>
    </w:p>
    <w:p w14:paraId="2CDB9CDF" w14:textId="77777777" w:rsidR="00797305" w:rsidRPr="004058DA" w:rsidRDefault="00797305" w:rsidP="003C455C">
      <w:pPr>
        <w:jc w:val="both"/>
        <w:rPr>
          <w:rFonts w:eastAsia="Calibri" w:cstheme="minorHAnsi"/>
          <w:b/>
          <w:bCs/>
          <w:sz w:val="22"/>
          <w:szCs w:val="22"/>
        </w:rPr>
      </w:pPr>
      <w:r w:rsidRPr="004058DA">
        <w:rPr>
          <w:rFonts w:eastAsia="Calibri" w:cstheme="minorHAnsi"/>
          <w:sz w:val="22"/>
          <w:szCs w:val="22"/>
        </w:rPr>
        <w:t xml:space="preserve">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STU 02-100, and UTRGV Academic Integrity Guidelines). </w:t>
      </w:r>
      <w:r w:rsidRPr="004058DA">
        <w:rPr>
          <w:rFonts w:eastAsia="Calibri" w:cstheme="minorHAnsi"/>
          <w:b/>
          <w:bCs/>
          <w:sz w:val="22"/>
          <w:szCs w:val="22"/>
        </w:rPr>
        <w:t>All scholastic dishonesty incidents will be reported to Student Rights and Responsibilities.</w:t>
      </w:r>
    </w:p>
    <w:p w14:paraId="001DF25B" w14:textId="77777777" w:rsidR="00797305" w:rsidRPr="00362757" w:rsidRDefault="00797305" w:rsidP="003C455C">
      <w:pPr>
        <w:jc w:val="both"/>
        <w:rPr>
          <w:rFonts w:cstheme="minorHAnsi"/>
          <w:sz w:val="16"/>
          <w:szCs w:val="16"/>
        </w:rPr>
      </w:pPr>
    </w:p>
    <w:p w14:paraId="17E72A49" w14:textId="029CDA0F" w:rsidR="00797305" w:rsidRPr="005C514D" w:rsidRDefault="00797305" w:rsidP="003C455C">
      <w:pPr>
        <w:jc w:val="both"/>
        <w:rPr>
          <w:rFonts w:eastAsia="Calibri" w:cstheme="minorHAnsi"/>
          <w:sz w:val="22"/>
          <w:szCs w:val="22"/>
          <w:u w:val="single"/>
        </w:rPr>
      </w:pPr>
      <w:r w:rsidRPr="00907E33">
        <w:rPr>
          <w:rFonts w:eastAsia="Calibri" w:cstheme="minorHAnsi"/>
          <w:b/>
          <w:bCs/>
          <w:sz w:val="22"/>
          <w:szCs w:val="22"/>
          <w:u w:val="single"/>
        </w:rPr>
        <w:t>SEXUAL MISCONDUCT and MANDATORY REPORTING:</w:t>
      </w:r>
      <w:r w:rsidRPr="00907E33">
        <w:rPr>
          <w:rFonts w:eastAsia="Calibri" w:cstheme="minorHAnsi"/>
          <w:sz w:val="22"/>
          <w:szCs w:val="22"/>
        </w:rPr>
        <w:t xml:space="preserve">  </w:t>
      </w:r>
    </w:p>
    <w:p w14:paraId="1A4DDFDB" w14:textId="77777777" w:rsidR="00797305" w:rsidRPr="00907E33" w:rsidRDefault="00797305" w:rsidP="003C455C">
      <w:pPr>
        <w:jc w:val="both"/>
        <w:rPr>
          <w:rFonts w:eastAsia="Calibri" w:cstheme="minorHAnsi"/>
          <w:sz w:val="22"/>
          <w:szCs w:val="22"/>
        </w:rPr>
      </w:pPr>
      <w:r w:rsidRPr="00907E33">
        <w:rPr>
          <w:rFonts w:eastAsia="Calibri" w:cstheme="minorHAnsi"/>
          <w:sz w:val="22"/>
          <w:szCs w:val="22"/>
        </w:rPr>
        <w:t>In accordance with UT System regulations, your instructor is a “Responsible Employee” for reporting purposes under Title IX regulations and so must report to the Office of Institutional Equity &amp; Diversity (</w:t>
      </w:r>
      <w:hyperlink r:id="rId13" w:history="1">
        <w:r w:rsidRPr="00907E33">
          <w:rPr>
            <w:rStyle w:val="Hyperlink"/>
            <w:rFonts w:eastAsia="Calibri" w:cstheme="minorHAnsi"/>
            <w:sz w:val="22"/>
            <w:szCs w:val="22"/>
          </w:rPr>
          <w:t>oie@utrgv.edu</w:t>
        </w:r>
      </w:hyperlink>
      <w:r w:rsidRPr="00907E33">
        <w:rPr>
          <w:rFonts w:eastAsia="Calibri" w:cstheme="minorHAnsi"/>
          <w:sz w:val="22"/>
          <w:szCs w:val="22"/>
        </w:rPr>
        <w:t>) 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14" w:history="1">
        <w:r w:rsidRPr="00907E33">
          <w:rPr>
            <w:rStyle w:val="Hyperlink"/>
            <w:rFonts w:eastAsia="Calibri" w:cstheme="minorHAnsi"/>
            <w:sz w:val="22"/>
            <w:szCs w:val="22"/>
          </w:rPr>
          <w:t>www.utrgv.edu/equity</w:t>
        </w:r>
      </w:hyperlink>
      <w:r w:rsidRPr="00907E33">
        <w:rPr>
          <w:rFonts w:eastAsia="Calibri" w:cstheme="minorHAnsi"/>
          <w:sz w:val="22"/>
          <w:szCs w:val="22"/>
        </w:rPr>
        <w:t xml:space="preserve">,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w:t>
      </w:r>
      <w:r>
        <w:rPr>
          <w:rFonts w:eastAsia="Calibri" w:cstheme="minorHAnsi"/>
          <w:sz w:val="22"/>
          <w:szCs w:val="22"/>
        </w:rPr>
        <w:t xml:space="preserve">(956) </w:t>
      </w:r>
      <w:r w:rsidRPr="00907E33">
        <w:rPr>
          <w:rFonts w:eastAsia="Calibri" w:cstheme="minorHAnsi"/>
          <w:sz w:val="22"/>
          <w:szCs w:val="22"/>
        </w:rPr>
        <w:t xml:space="preserve">665-8287, </w:t>
      </w:r>
      <w:r>
        <w:rPr>
          <w:rFonts w:eastAsia="Calibri" w:cstheme="minorHAnsi"/>
          <w:sz w:val="22"/>
          <w:szCs w:val="22"/>
        </w:rPr>
        <w:t xml:space="preserve">(956) </w:t>
      </w:r>
      <w:r w:rsidRPr="00907E33">
        <w:rPr>
          <w:rFonts w:eastAsia="Calibri" w:cstheme="minorHAnsi"/>
          <w:sz w:val="22"/>
          <w:szCs w:val="22"/>
        </w:rPr>
        <w:t>882-8282, or </w:t>
      </w:r>
      <w:hyperlink r:id="rId15" w:history="1">
        <w:r w:rsidRPr="00907E33">
          <w:rPr>
            <w:rStyle w:val="Hyperlink"/>
            <w:rFonts w:eastAsia="Calibri" w:cstheme="minorHAnsi"/>
            <w:sz w:val="22"/>
            <w:szCs w:val="22"/>
          </w:rPr>
          <w:t>OVAVP@utrgv.edu</w:t>
        </w:r>
      </w:hyperlink>
      <w:r w:rsidRPr="00907E33">
        <w:rPr>
          <w:rFonts w:eastAsia="Calibri" w:cstheme="minorHAnsi"/>
          <w:sz w:val="22"/>
          <w:szCs w:val="22"/>
        </w:rPr>
        <w:t>.</w:t>
      </w:r>
    </w:p>
    <w:p w14:paraId="38919248" w14:textId="77777777" w:rsidR="00797305" w:rsidRPr="00362757" w:rsidRDefault="00797305" w:rsidP="003C455C">
      <w:pPr>
        <w:jc w:val="both"/>
        <w:rPr>
          <w:rFonts w:cstheme="minorHAnsi"/>
          <w:b/>
          <w:sz w:val="16"/>
          <w:szCs w:val="16"/>
          <w:u w:val="single"/>
        </w:rPr>
      </w:pPr>
    </w:p>
    <w:p w14:paraId="43A5A942" w14:textId="56662406" w:rsidR="00797305" w:rsidRPr="00907E33" w:rsidRDefault="00797305" w:rsidP="003C455C">
      <w:pPr>
        <w:jc w:val="both"/>
        <w:rPr>
          <w:rFonts w:cstheme="minorHAnsi"/>
          <w:color w:val="808080" w:themeColor="background1" w:themeShade="80"/>
          <w:sz w:val="22"/>
          <w:szCs w:val="22"/>
        </w:rPr>
      </w:pPr>
      <w:r w:rsidRPr="00907E33">
        <w:rPr>
          <w:rFonts w:cstheme="minorHAnsi"/>
          <w:b/>
          <w:sz w:val="22"/>
          <w:szCs w:val="22"/>
          <w:u w:val="single"/>
        </w:rPr>
        <w:lastRenderedPageBreak/>
        <w:t>COURSE DROPS</w:t>
      </w:r>
      <w:r w:rsidRPr="00907E33">
        <w:rPr>
          <w:rFonts w:cstheme="minorHAnsi"/>
          <w:b/>
          <w:sz w:val="22"/>
          <w:szCs w:val="22"/>
        </w:rPr>
        <w:t>:</w:t>
      </w:r>
      <w:r w:rsidRPr="00907E33">
        <w:rPr>
          <w:rFonts w:cstheme="minorHAnsi"/>
          <w:sz w:val="22"/>
          <w:szCs w:val="22"/>
        </w:rPr>
        <w:t xml:space="preserve"> </w:t>
      </w:r>
    </w:p>
    <w:p w14:paraId="455B1182" w14:textId="77777777" w:rsidR="00797305" w:rsidRPr="00907E33" w:rsidRDefault="00797305" w:rsidP="003C455C">
      <w:pPr>
        <w:jc w:val="both"/>
        <w:rPr>
          <w:rFonts w:cstheme="minorHAnsi"/>
          <w:sz w:val="22"/>
          <w:szCs w:val="22"/>
        </w:rPr>
      </w:pPr>
      <w:r w:rsidRPr="00907E33">
        <w:rPr>
          <w:rFonts w:cstheme="minorHAnsi"/>
          <w:sz w:val="22"/>
          <w:szCs w:val="22"/>
        </w:rPr>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51BB7B79" w14:textId="77777777" w:rsidR="00797305" w:rsidRPr="00362757" w:rsidRDefault="00797305" w:rsidP="003C455C">
      <w:pPr>
        <w:pStyle w:val="Default"/>
        <w:jc w:val="both"/>
        <w:rPr>
          <w:rFonts w:asciiTheme="minorHAnsi" w:hAnsiTheme="minorHAnsi" w:cstheme="minorHAnsi"/>
          <w:b/>
          <w:bCs/>
          <w:sz w:val="16"/>
          <w:szCs w:val="16"/>
          <w:u w:val="single"/>
        </w:rPr>
      </w:pPr>
    </w:p>
    <w:p w14:paraId="207CA33B" w14:textId="2780EB53" w:rsidR="00797305" w:rsidRPr="00907E33" w:rsidRDefault="00797305" w:rsidP="003C455C">
      <w:pPr>
        <w:pStyle w:val="Default"/>
        <w:jc w:val="both"/>
        <w:rPr>
          <w:rFonts w:asciiTheme="minorHAnsi" w:hAnsiTheme="minorHAnsi" w:cstheme="minorHAnsi"/>
          <w:color w:val="808080" w:themeColor="background1" w:themeShade="80"/>
          <w:sz w:val="22"/>
          <w:szCs w:val="22"/>
        </w:rPr>
      </w:pPr>
      <w:r w:rsidRPr="00907E33">
        <w:rPr>
          <w:rFonts w:asciiTheme="minorHAnsi" w:hAnsiTheme="minorHAnsi" w:cstheme="minorHAnsi"/>
          <w:b/>
          <w:bCs/>
          <w:sz w:val="22"/>
          <w:szCs w:val="22"/>
          <w:u w:val="single"/>
        </w:rPr>
        <w:t>STUDENT SERVICES</w:t>
      </w:r>
      <w:r w:rsidRPr="00907E33">
        <w:rPr>
          <w:rFonts w:asciiTheme="minorHAnsi" w:hAnsiTheme="minorHAnsi" w:cstheme="minorHAnsi"/>
          <w:b/>
          <w:bCs/>
          <w:sz w:val="22"/>
          <w:szCs w:val="22"/>
        </w:rPr>
        <w:t xml:space="preserve">: </w:t>
      </w:r>
    </w:p>
    <w:p w14:paraId="4A3B7C17" w14:textId="5E21E62F" w:rsidR="00797305" w:rsidRPr="00143FB9" w:rsidRDefault="00797305" w:rsidP="003C455C">
      <w:pPr>
        <w:pStyle w:val="Default"/>
        <w:jc w:val="both"/>
        <w:rPr>
          <w:rFonts w:ascii="Times New Roman" w:hAnsi="Times New Roman" w:cs="Times New Roman"/>
          <w:sz w:val="22"/>
          <w:szCs w:val="22"/>
        </w:rPr>
      </w:pPr>
      <w:r w:rsidRPr="00143FB9">
        <w:rPr>
          <w:rFonts w:ascii="Times New Roman" w:hAnsi="Times New Roman" w:cs="Times New Roman"/>
          <w:sz w:val="22"/>
          <w:szCs w:val="22"/>
        </w:rPr>
        <w:t xml:space="preserve">Students who demonstrate financial need have a variety of options when it comes to paying for college costs, such as scholarships, grants, loans and work-study. Students should visit the Students Services Center (U Central) for additional information. U Central </w:t>
      </w:r>
      <w:proofErr w:type="gramStart"/>
      <w:r w:rsidRPr="00143FB9">
        <w:rPr>
          <w:rFonts w:ascii="Times New Roman" w:hAnsi="Times New Roman" w:cs="Times New Roman"/>
          <w:sz w:val="22"/>
          <w:szCs w:val="22"/>
        </w:rPr>
        <w:t>is located in</w:t>
      </w:r>
      <w:proofErr w:type="gramEnd"/>
      <w:r w:rsidRPr="00143FB9">
        <w:rPr>
          <w:rFonts w:ascii="Times New Roman" w:hAnsi="Times New Roman" w:cs="Times New Roman"/>
          <w:sz w:val="22"/>
          <w:szCs w:val="22"/>
        </w:rPr>
        <w:t xml:space="preserve"> BMAIN 1.100 (Brownsville) or ESSBL 1.145 (Edinburg) or can be reached by email (</w:t>
      </w:r>
      <w:hyperlink r:id="rId16" w:history="1">
        <w:r w:rsidRPr="00143FB9">
          <w:rPr>
            <w:rStyle w:val="Hyperlink"/>
            <w:rFonts w:ascii="Times New Roman" w:hAnsi="Times New Roman"/>
            <w:sz w:val="22"/>
            <w:szCs w:val="22"/>
          </w:rPr>
          <w:t>ucentral@utrgv.edu</w:t>
        </w:r>
      </w:hyperlink>
      <w:r w:rsidRPr="00143FB9">
        <w:rPr>
          <w:rFonts w:ascii="Times New Roman" w:hAnsi="Times New Roman" w:cs="Times New Roman"/>
          <w:sz w:val="22"/>
          <w:szCs w:val="22"/>
        </w:rPr>
        <w:t xml:space="preserve">) or telephone: (888) 882-4026. In addition to financial aid, U Central can assist students with registration and admissions. </w:t>
      </w:r>
    </w:p>
    <w:p w14:paraId="67144D1A" w14:textId="77777777" w:rsidR="00797305" w:rsidRPr="00143FB9" w:rsidRDefault="00797305" w:rsidP="003C455C">
      <w:pPr>
        <w:pStyle w:val="Default"/>
        <w:jc w:val="both"/>
        <w:rPr>
          <w:rFonts w:ascii="Times New Roman" w:hAnsi="Times New Roman" w:cs="Times New Roman"/>
          <w:sz w:val="22"/>
          <w:szCs w:val="22"/>
        </w:rPr>
      </w:pPr>
      <w:r w:rsidRPr="00143FB9">
        <w:rPr>
          <w:rFonts w:ascii="Times New Roman" w:hAnsi="Times New Roman" w:cs="Times New Roman"/>
          <w:sz w:val="22"/>
          <w:szCs w:val="22"/>
        </w:rPr>
        <w:t xml:space="preserve">Students seeking academic help in their studies can use university resources in addition to an instructor’s office hours. University Resources include the Advising Center, Career Center, Counseling Center, Learning Center, and Writing Center. The centers provide services such as tutoring, writing help, counseling services, critical thinking, study skills, degree planning, and student employment. In addition, services such as the Food Pantry are also provided. Locations are listed below.  </w:t>
      </w:r>
    </w:p>
    <w:p w14:paraId="10DEDAFB" w14:textId="77777777" w:rsidR="00797305" w:rsidRPr="00362757" w:rsidRDefault="00797305" w:rsidP="00797305">
      <w:pPr>
        <w:pStyle w:val="Default"/>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3353"/>
        <w:gridCol w:w="2795"/>
        <w:gridCol w:w="2708"/>
      </w:tblGrid>
      <w:tr w:rsidR="00797305" w:rsidRPr="00907E33" w14:paraId="04D3A525" w14:textId="77777777" w:rsidTr="00DF1B47">
        <w:tc>
          <w:tcPr>
            <w:tcW w:w="3596" w:type="dxa"/>
            <w:shd w:val="clear" w:color="auto" w:fill="EEECE1" w:themeFill="background2"/>
          </w:tcPr>
          <w:p w14:paraId="50837E50" w14:textId="77777777" w:rsidR="00797305" w:rsidRPr="00907E33" w:rsidRDefault="00797305" w:rsidP="00DF1B47">
            <w:pPr>
              <w:pStyle w:val="Default"/>
              <w:rPr>
                <w:rFonts w:asciiTheme="minorHAnsi" w:hAnsiTheme="minorHAnsi" w:cstheme="minorHAnsi"/>
                <w:b/>
                <w:bCs/>
                <w:sz w:val="22"/>
                <w:szCs w:val="22"/>
              </w:rPr>
            </w:pPr>
            <w:r w:rsidRPr="00907E33">
              <w:rPr>
                <w:rFonts w:asciiTheme="minorHAnsi" w:hAnsiTheme="minorHAnsi" w:cstheme="minorHAnsi"/>
                <w:b/>
                <w:bCs/>
                <w:sz w:val="22"/>
                <w:szCs w:val="22"/>
              </w:rPr>
              <w:t>Center Name</w:t>
            </w:r>
          </w:p>
        </w:tc>
        <w:tc>
          <w:tcPr>
            <w:tcW w:w="3597" w:type="dxa"/>
            <w:shd w:val="clear" w:color="auto" w:fill="EEECE1" w:themeFill="background2"/>
          </w:tcPr>
          <w:p w14:paraId="5F91A691" w14:textId="77777777" w:rsidR="00797305" w:rsidRPr="00907E33" w:rsidRDefault="00797305" w:rsidP="00DF1B47">
            <w:pPr>
              <w:pStyle w:val="Default"/>
              <w:rPr>
                <w:rFonts w:asciiTheme="minorHAnsi" w:hAnsiTheme="minorHAnsi" w:cstheme="minorHAnsi"/>
                <w:b/>
                <w:bCs/>
                <w:sz w:val="22"/>
                <w:szCs w:val="22"/>
              </w:rPr>
            </w:pPr>
            <w:r w:rsidRPr="00907E33">
              <w:rPr>
                <w:rFonts w:asciiTheme="minorHAnsi" w:hAnsiTheme="minorHAnsi" w:cstheme="minorHAnsi"/>
                <w:b/>
                <w:bCs/>
                <w:sz w:val="22"/>
                <w:szCs w:val="22"/>
              </w:rPr>
              <w:t>Brownsville Campus</w:t>
            </w:r>
          </w:p>
        </w:tc>
        <w:tc>
          <w:tcPr>
            <w:tcW w:w="3597" w:type="dxa"/>
            <w:shd w:val="clear" w:color="auto" w:fill="EEECE1" w:themeFill="background2"/>
          </w:tcPr>
          <w:p w14:paraId="71AFEAE7" w14:textId="77777777" w:rsidR="00797305" w:rsidRPr="00907E33" w:rsidRDefault="00797305" w:rsidP="00DF1B47">
            <w:pPr>
              <w:pStyle w:val="Default"/>
              <w:rPr>
                <w:rFonts w:asciiTheme="minorHAnsi" w:hAnsiTheme="minorHAnsi" w:cstheme="minorHAnsi"/>
                <w:b/>
                <w:bCs/>
                <w:sz w:val="22"/>
                <w:szCs w:val="22"/>
              </w:rPr>
            </w:pPr>
            <w:r w:rsidRPr="00907E33">
              <w:rPr>
                <w:rFonts w:asciiTheme="minorHAnsi" w:hAnsiTheme="minorHAnsi" w:cstheme="minorHAnsi"/>
                <w:b/>
                <w:bCs/>
                <w:sz w:val="22"/>
                <w:szCs w:val="22"/>
              </w:rPr>
              <w:t>Edinburg Campus</w:t>
            </w:r>
          </w:p>
        </w:tc>
      </w:tr>
      <w:tr w:rsidR="00797305" w:rsidRPr="00907E33" w14:paraId="2F7C830D" w14:textId="77777777" w:rsidTr="00DF1B47">
        <w:tc>
          <w:tcPr>
            <w:tcW w:w="3596" w:type="dxa"/>
          </w:tcPr>
          <w:p w14:paraId="46732E6B" w14:textId="77777777" w:rsidR="00797305" w:rsidRPr="00907E33" w:rsidRDefault="00797305" w:rsidP="00DF1B47">
            <w:pPr>
              <w:pStyle w:val="Default"/>
              <w:rPr>
                <w:rFonts w:asciiTheme="minorHAnsi" w:hAnsiTheme="minorHAnsi" w:cstheme="minorHAnsi"/>
                <w:b/>
                <w:bCs/>
                <w:sz w:val="22"/>
                <w:szCs w:val="22"/>
              </w:rPr>
            </w:pPr>
            <w:r w:rsidRPr="00907E33">
              <w:rPr>
                <w:rFonts w:asciiTheme="minorHAnsi" w:hAnsiTheme="minorHAnsi" w:cstheme="minorHAnsi"/>
                <w:b/>
                <w:bCs/>
                <w:sz w:val="22"/>
                <w:szCs w:val="22"/>
              </w:rPr>
              <w:t>Advising Center</w:t>
            </w:r>
          </w:p>
          <w:p w14:paraId="4BC89EA1" w14:textId="77777777" w:rsidR="00797305" w:rsidRPr="00907E33" w:rsidRDefault="00797305" w:rsidP="00DF1B47">
            <w:pPr>
              <w:pStyle w:val="Default"/>
              <w:rPr>
                <w:rFonts w:asciiTheme="minorHAnsi" w:hAnsiTheme="minorHAnsi" w:cstheme="minorHAnsi"/>
                <w:sz w:val="22"/>
                <w:szCs w:val="22"/>
              </w:rPr>
            </w:pPr>
            <w:hyperlink r:id="rId17" w:history="1">
              <w:r w:rsidRPr="00907E33">
                <w:rPr>
                  <w:rStyle w:val="Hyperlink"/>
                  <w:rFonts w:asciiTheme="minorHAnsi" w:hAnsiTheme="minorHAnsi" w:cstheme="minorHAnsi"/>
                  <w:sz w:val="22"/>
                  <w:szCs w:val="22"/>
                </w:rPr>
                <w:t>AcademicAdvising@utrgv.edu</w:t>
              </w:r>
            </w:hyperlink>
            <w:r w:rsidRPr="00907E33">
              <w:rPr>
                <w:rFonts w:asciiTheme="minorHAnsi" w:hAnsiTheme="minorHAnsi" w:cstheme="minorHAnsi"/>
                <w:sz w:val="22"/>
                <w:szCs w:val="22"/>
              </w:rPr>
              <w:t xml:space="preserve"> </w:t>
            </w:r>
          </w:p>
        </w:tc>
        <w:tc>
          <w:tcPr>
            <w:tcW w:w="3597" w:type="dxa"/>
          </w:tcPr>
          <w:p w14:paraId="6A7A6592"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BMAIN 1.400</w:t>
            </w:r>
          </w:p>
          <w:p w14:paraId="74977F22"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(956) 665-7120</w:t>
            </w:r>
          </w:p>
        </w:tc>
        <w:tc>
          <w:tcPr>
            <w:tcW w:w="3597" w:type="dxa"/>
          </w:tcPr>
          <w:p w14:paraId="72F5272C"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ESWKH 101</w:t>
            </w:r>
          </w:p>
          <w:p w14:paraId="41ECAB82"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(956) 665-7120</w:t>
            </w:r>
          </w:p>
        </w:tc>
      </w:tr>
      <w:tr w:rsidR="00797305" w:rsidRPr="00907E33" w14:paraId="0CB60A80" w14:textId="77777777" w:rsidTr="00DF1B47">
        <w:tc>
          <w:tcPr>
            <w:tcW w:w="3596" w:type="dxa"/>
          </w:tcPr>
          <w:p w14:paraId="56BC67FB" w14:textId="77777777" w:rsidR="00797305" w:rsidRPr="00907E33" w:rsidRDefault="00797305" w:rsidP="00DF1B47">
            <w:pPr>
              <w:pStyle w:val="Default"/>
              <w:rPr>
                <w:rFonts w:asciiTheme="minorHAnsi" w:hAnsiTheme="minorHAnsi" w:cstheme="minorHAnsi"/>
                <w:b/>
                <w:bCs/>
                <w:sz w:val="22"/>
                <w:szCs w:val="22"/>
              </w:rPr>
            </w:pPr>
            <w:r w:rsidRPr="00907E33">
              <w:rPr>
                <w:rFonts w:asciiTheme="minorHAnsi" w:hAnsiTheme="minorHAnsi" w:cstheme="minorHAnsi"/>
                <w:b/>
                <w:bCs/>
                <w:sz w:val="22"/>
                <w:szCs w:val="22"/>
              </w:rPr>
              <w:t>Career Center</w:t>
            </w:r>
          </w:p>
          <w:p w14:paraId="14EDF55B" w14:textId="77777777" w:rsidR="00797305" w:rsidRPr="00907E33" w:rsidRDefault="00797305" w:rsidP="00DF1B47">
            <w:pPr>
              <w:pStyle w:val="Default"/>
              <w:rPr>
                <w:rFonts w:asciiTheme="minorHAnsi" w:hAnsiTheme="minorHAnsi" w:cstheme="minorHAnsi"/>
                <w:sz w:val="22"/>
                <w:szCs w:val="22"/>
              </w:rPr>
            </w:pPr>
            <w:hyperlink r:id="rId18" w:history="1">
              <w:r w:rsidRPr="00907E33">
                <w:rPr>
                  <w:rStyle w:val="Hyperlink"/>
                  <w:rFonts w:asciiTheme="minorHAnsi" w:hAnsiTheme="minorHAnsi" w:cstheme="minorHAnsi"/>
                  <w:sz w:val="22"/>
                  <w:szCs w:val="22"/>
                </w:rPr>
                <w:t>CareerCenter@utrgv.edu</w:t>
              </w:r>
            </w:hyperlink>
            <w:r w:rsidRPr="00907E33">
              <w:rPr>
                <w:rFonts w:asciiTheme="minorHAnsi" w:hAnsiTheme="minorHAnsi" w:cstheme="minorHAnsi"/>
                <w:sz w:val="22"/>
                <w:szCs w:val="22"/>
              </w:rPr>
              <w:t xml:space="preserve"> </w:t>
            </w:r>
          </w:p>
        </w:tc>
        <w:tc>
          <w:tcPr>
            <w:tcW w:w="3597" w:type="dxa"/>
          </w:tcPr>
          <w:p w14:paraId="07EA707D"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BCRTZ 129</w:t>
            </w:r>
          </w:p>
          <w:p w14:paraId="47EA2960"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(956) 882-5627</w:t>
            </w:r>
          </w:p>
        </w:tc>
        <w:tc>
          <w:tcPr>
            <w:tcW w:w="3597" w:type="dxa"/>
          </w:tcPr>
          <w:p w14:paraId="7D422A07"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ESSBL 2.101</w:t>
            </w:r>
          </w:p>
          <w:p w14:paraId="6E534CCB"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(956) 665-2243</w:t>
            </w:r>
          </w:p>
        </w:tc>
      </w:tr>
      <w:tr w:rsidR="00797305" w:rsidRPr="00907E33" w14:paraId="22CDD531" w14:textId="77777777" w:rsidTr="00DF1B47">
        <w:trPr>
          <w:trHeight w:val="557"/>
        </w:trPr>
        <w:tc>
          <w:tcPr>
            <w:tcW w:w="3596" w:type="dxa"/>
          </w:tcPr>
          <w:p w14:paraId="3EBD82A1" w14:textId="77777777" w:rsidR="00797305" w:rsidRPr="00907E33" w:rsidRDefault="00797305" w:rsidP="00DF1B47">
            <w:pPr>
              <w:pStyle w:val="Default"/>
              <w:rPr>
                <w:rFonts w:asciiTheme="minorHAnsi" w:hAnsiTheme="minorHAnsi" w:cstheme="minorHAnsi"/>
                <w:b/>
                <w:bCs/>
                <w:sz w:val="22"/>
                <w:szCs w:val="22"/>
              </w:rPr>
            </w:pPr>
            <w:r w:rsidRPr="00907E33">
              <w:rPr>
                <w:rFonts w:asciiTheme="minorHAnsi" w:hAnsiTheme="minorHAnsi" w:cstheme="minorHAnsi"/>
                <w:b/>
                <w:bCs/>
                <w:sz w:val="22"/>
                <w:szCs w:val="22"/>
              </w:rPr>
              <w:t>Counseling Center</w:t>
            </w:r>
          </w:p>
          <w:p w14:paraId="074921D3" w14:textId="77777777" w:rsidR="00797305" w:rsidRDefault="00797305" w:rsidP="00DF1B47">
            <w:pPr>
              <w:pStyle w:val="Default"/>
              <w:rPr>
                <w:rFonts w:asciiTheme="minorHAnsi" w:hAnsiTheme="minorHAnsi" w:cstheme="minorHAnsi"/>
                <w:sz w:val="22"/>
                <w:szCs w:val="22"/>
              </w:rPr>
            </w:pPr>
            <w:hyperlink r:id="rId19" w:history="1">
              <w:r w:rsidRPr="00907E33">
                <w:rPr>
                  <w:rStyle w:val="Hyperlink"/>
                  <w:rFonts w:asciiTheme="minorHAnsi" w:hAnsiTheme="minorHAnsi" w:cstheme="minorHAnsi"/>
                  <w:sz w:val="22"/>
                  <w:szCs w:val="22"/>
                </w:rPr>
                <w:t>Counseling@utrgv.edu</w:t>
              </w:r>
            </w:hyperlink>
            <w:r w:rsidRPr="00907E33">
              <w:rPr>
                <w:rFonts w:asciiTheme="minorHAnsi" w:hAnsiTheme="minorHAnsi" w:cstheme="minorHAnsi"/>
                <w:sz w:val="22"/>
                <w:szCs w:val="22"/>
              </w:rPr>
              <w:t xml:space="preserve"> </w:t>
            </w:r>
          </w:p>
          <w:p w14:paraId="1BA34C22" w14:textId="77777777" w:rsidR="00797305" w:rsidRPr="00D766E8" w:rsidRDefault="00797305" w:rsidP="00DF1B47">
            <w:pPr>
              <w:pStyle w:val="Default"/>
              <w:rPr>
                <w:rFonts w:asciiTheme="minorHAnsi" w:hAnsiTheme="minorHAnsi" w:cstheme="minorHAnsi"/>
                <w:sz w:val="8"/>
                <w:szCs w:val="8"/>
              </w:rPr>
            </w:pPr>
          </w:p>
          <w:p w14:paraId="62AC7BD5" w14:textId="77777777" w:rsidR="00797305" w:rsidRPr="00085A12" w:rsidRDefault="00797305" w:rsidP="00DF1B47">
            <w:pPr>
              <w:pStyle w:val="Default"/>
              <w:rPr>
                <w:rFonts w:asciiTheme="minorHAnsi" w:hAnsiTheme="minorHAnsi" w:cstheme="minorHAnsi"/>
                <w:sz w:val="22"/>
                <w:szCs w:val="22"/>
              </w:rPr>
            </w:pPr>
            <w:hyperlink r:id="rId20" w:history="1">
              <w:r w:rsidRPr="00085A12">
                <w:rPr>
                  <w:rStyle w:val="Hyperlink"/>
                  <w:rFonts w:asciiTheme="minorHAnsi" w:hAnsiTheme="minorHAnsi" w:cstheme="minorHAnsi"/>
                  <w:sz w:val="22"/>
                  <w:szCs w:val="22"/>
                </w:rPr>
                <w:t>Counseling and Related Services List</w:t>
              </w:r>
            </w:hyperlink>
          </w:p>
        </w:tc>
        <w:tc>
          <w:tcPr>
            <w:tcW w:w="3597" w:type="dxa"/>
          </w:tcPr>
          <w:p w14:paraId="0E177F29"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BSTUN 2.10</w:t>
            </w:r>
          </w:p>
          <w:p w14:paraId="36760723" w14:textId="77777777" w:rsidR="00797305"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(956) 882-3897</w:t>
            </w:r>
          </w:p>
          <w:p w14:paraId="68FC88E1" w14:textId="77777777" w:rsidR="00797305" w:rsidRPr="00907E33" w:rsidRDefault="00797305" w:rsidP="00DF1B47">
            <w:pPr>
              <w:pStyle w:val="Default"/>
              <w:rPr>
                <w:rFonts w:asciiTheme="minorHAnsi" w:hAnsiTheme="minorHAnsi" w:cstheme="minorHAnsi"/>
                <w:sz w:val="22"/>
                <w:szCs w:val="22"/>
              </w:rPr>
            </w:pPr>
          </w:p>
        </w:tc>
        <w:tc>
          <w:tcPr>
            <w:tcW w:w="3597" w:type="dxa"/>
          </w:tcPr>
          <w:p w14:paraId="3B1BFE4C"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EUCTR 109</w:t>
            </w:r>
          </w:p>
          <w:p w14:paraId="3BF78C4A"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(956) 665-2574</w:t>
            </w:r>
          </w:p>
        </w:tc>
      </w:tr>
      <w:tr w:rsidR="00797305" w:rsidRPr="00907E33" w14:paraId="648827C4" w14:textId="77777777" w:rsidTr="00DF1B47">
        <w:trPr>
          <w:trHeight w:val="557"/>
        </w:trPr>
        <w:tc>
          <w:tcPr>
            <w:tcW w:w="3596" w:type="dxa"/>
          </w:tcPr>
          <w:p w14:paraId="4D787844" w14:textId="77777777" w:rsidR="00797305" w:rsidRDefault="00797305" w:rsidP="00DF1B47">
            <w:pPr>
              <w:pStyle w:val="Default"/>
              <w:rPr>
                <w:rFonts w:asciiTheme="minorHAnsi" w:hAnsiTheme="minorHAnsi" w:cstheme="minorHAnsi"/>
                <w:b/>
                <w:bCs/>
                <w:sz w:val="22"/>
                <w:szCs w:val="22"/>
              </w:rPr>
            </w:pPr>
            <w:r>
              <w:rPr>
                <w:rFonts w:asciiTheme="minorHAnsi" w:hAnsiTheme="minorHAnsi" w:cstheme="minorHAnsi"/>
                <w:b/>
                <w:bCs/>
                <w:sz w:val="22"/>
                <w:szCs w:val="22"/>
              </w:rPr>
              <w:t>Food Pantry</w:t>
            </w:r>
          </w:p>
          <w:p w14:paraId="21AA9CC6" w14:textId="77777777" w:rsidR="00797305" w:rsidRPr="00362757" w:rsidRDefault="00797305" w:rsidP="00DF1B47">
            <w:pPr>
              <w:pStyle w:val="Default"/>
              <w:rPr>
                <w:rFonts w:asciiTheme="minorHAnsi" w:hAnsiTheme="minorHAnsi" w:cstheme="minorHAnsi"/>
                <w:sz w:val="22"/>
                <w:szCs w:val="22"/>
              </w:rPr>
            </w:pPr>
            <w:hyperlink r:id="rId21" w:history="1">
              <w:r w:rsidRPr="0050248C">
                <w:rPr>
                  <w:rStyle w:val="Hyperlink"/>
                  <w:rFonts w:asciiTheme="minorHAnsi" w:hAnsiTheme="minorHAnsi" w:cstheme="minorHAnsi"/>
                  <w:sz w:val="22"/>
                  <w:szCs w:val="22"/>
                </w:rPr>
                <w:t>FoodPantry@utrgv.edu</w:t>
              </w:r>
            </w:hyperlink>
            <w:r>
              <w:rPr>
                <w:rFonts w:asciiTheme="minorHAnsi" w:hAnsiTheme="minorHAnsi" w:cstheme="minorHAnsi"/>
                <w:sz w:val="22"/>
                <w:szCs w:val="22"/>
              </w:rPr>
              <w:t xml:space="preserve"> </w:t>
            </w:r>
          </w:p>
        </w:tc>
        <w:tc>
          <w:tcPr>
            <w:tcW w:w="3597" w:type="dxa"/>
          </w:tcPr>
          <w:p w14:paraId="294D2A21" w14:textId="77777777" w:rsidR="00797305" w:rsidRDefault="00797305" w:rsidP="00DF1B47">
            <w:pPr>
              <w:pStyle w:val="Default"/>
              <w:rPr>
                <w:rFonts w:asciiTheme="minorHAnsi" w:hAnsiTheme="minorHAnsi" w:cstheme="minorHAnsi"/>
                <w:sz w:val="22"/>
                <w:szCs w:val="22"/>
              </w:rPr>
            </w:pPr>
            <w:r>
              <w:rPr>
                <w:rFonts w:asciiTheme="minorHAnsi" w:hAnsiTheme="minorHAnsi" w:cstheme="minorHAnsi"/>
                <w:sz w:val="22"/>
                <w:szCs w:val="22"/>
              </w:rPr>
              <w:t>BCAVL 101 &amp; 102</w:t>
            </w:r>
          </w:p>
          <w:p w14:paraId="1055F16F" w14:textId="77777777" w:rsidR="00797305" w:rsidRPr="00907E33" w:rsidRDefault="00797305" w:rsidP="00DF1B47">
            <w:pPr>
              <w:pStyle w:val="Default"/>
              <w:rPr>
                <w:rFonts w:asciiTheme="minorHAnsi" w:hAnsiTheme="minorHAnsi" w:cstheme="minorHAnsi"/>
                <w:sz w:val="22"/>
                <w:szCs w:val="22"/>
              </w:rPr>
            </w:pPr>
            <w:r>
              <w:rPr>
                <w:rFonts w:asciiTheme="minorHAnsi" w:hAnsiTheme="minorHAnsi" w:cstheme="minorHAnsi"/>
                <w:sz w:val="22"/>
                <w:szCs w:val="22"/>
              </w:rPr>
              <w:t>(956) 882-7126</w:t>
            </w:r>
          </w:p>
        </w:tc>
        <w:tc>
          <w:tcPr>
            <w:tcW w:w="3597" w:type="dxa"/>
          </w:tcPr>
          <w:p w14:paraId="4C1BE0B4" w14:textId="77777777" w:rsidR="00797305" w:rsidRPr="00907E33" w:rsidRDefault="00797305" w:rsidP="00DF1B47">
            <w:pPr>
              <w:pStyle w:val="Default"/>
              <w:rPr>
                <w:rFonts w:asciiTheme="minorHAnsi" w:hAnsiTheme="minorHAnsi" w:cstheme="minorHAnsi"/>
                <w:sz w:val="22"/>
                <w:szCs w:val="22"/>
              </w:rPr>
            </w:pPr>
            <w:r>
              <w:rPr>
                <w:rFonts w:asciiTheme="minorHAnsi" w:hAnsiTheme="minorHAnsi" w:cstheme="minorHAnsi"/>
                <w:sz w:val="22"/>
                <w:szCs w:val="22"/>
              </w:rPr>
              <w:t>EUCTR 114</w:t>
            </w:r>
            <w:r>
              <w:rPr>
                <w:rFonts w:asciiTheme="minorHAnsi" w:hAnsiTheme="minorHAnsi" w:cstheme="minorHAnsi"/>
                <w:sz w:val="22"/>
                <w:szCs w:val="22"/>
              </w:rPr>
              <w:br/>
              <w:t>(956) 665-3663</w:t>
            </w:r>
          </w:p>
        </w:tc>
      </w:tr>
      <w:tr w:rsidR="00797305" w:rsidRPr="00907E33" w14:paraId="550D3D03" w14:textId="77777777" w:rsidTr="00DF1B47">
        <w:tc>
          <w:tcPr>
            <w:tcW w:w="3596" w:type="dxa"/>
          </w:tcPr>
          <w:p w14:paraId="566A63E4" w14:textId="77777777" w:rsidR="00797305" w:rsidRPr="00907E33" w:rsidRDefault="00797305" w:rsidP="00DF1B47">
            <w:pPr>
              <w:pStyle w:val="Default"/>
              <w:rPr>
                <w:rFonts w:asciiTheme="minorHAnsi" w:hAnsiTheme="minorHAnsi" w:cstheme="minorHAnsi"/>
                <w:b/>
                <w:bCs/>
                <w:sz w:val="22"/>
                <w:szCs w:val="22"/>
              </w:rPr>
            </w:pPr>
            <w:r w:rsidRPr="00907E33">
              <w:rPr>
                <w:rFonts w:asciiTheme="minorHAnsi" w:hAnsiTheme="minorHAnsi" w:cstheme="minorHAnsi"/>
                <w:b/>
                <w:bCs/>
                <w:sz w:val="22"/>
                <w:szCs w:val="22"/>
              </w:rPr>
              <w:t>Learning Center</w:t>
            </w:r>
          </w:p>
          <w:p w14:paraId="4A870BED" w14:textId="77777777" w:rsidR="00797305" w:rsidRPr="00907E33" w:rsidRDefault="00797305" w:rsidP="00DF1B47">
            <w:pPr>
              <w:pStyle w:val="Default"/>
              <w:rPr>
                <w:rFonts w:asciiTheme="minorHAnsi" w:hAnsiTheme="minorHAnsi" w:cstheme="minorHAnsi"/>
                <w:sz w:val="22"/>
                <w:szCs w:val="22"/>
              </w:rPr>
            </w:pPr>
            <w:hyperlink r:id="rId22" w:history="1">
              <w:r w:rsidRPr="00907E33">
                <w:rPr>
                  <w:rStyle w:val="Hyperlink"/>
                  <w:rFonts w:asciiTheme="minorHAnsi" w:hAnsiTheme="minorHAnsi" w:cstheme="minorHAnsi"/>
                  <w:sz w:val="22"/>
                  <w:szCs w:val="22"/>
                </w:rPr>
                <w:t>LearningCenter@utrgv.edu</w:t>
              </w:r>
            </w:hyperlink>
          </w:p>
        </w:tc>
        <w:tc>
          <w:tcPr>
            <w:tcW w:w="3597" w:type="dxa"/>
          </w:tcPr>
          <w:p w14:paraId="39E164BB"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BMSLC 2.118</w:t>
            </w:r>
          </w:p>
          <w:p w14:paraId="16E2276A"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(956) 882-8208</w:t>
            </w:r>
          </w:p>
        </w:tc>
        <w:tc>
          <w:tcPr>
            <w:tcW w:w="3597" w:type="dxa"/>
          </w:tcPr>
          <w:p w14:paraId="7D0EB9F0"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ELCTR 100</w:t>
            </w:r>
          </w:p>
          <w:p w14:paraId="39002160"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(956) 665-2585</w:t>
            </w:r>
          </w:p>
        </w:tc>
      </w:tr>
      <w:tr w:rsidR="00797305" w:rsidRPr="00907E33" w14:paraId="03F4429C" w14:textId="77777777" w:rsidTr="00DF1B47">
        <w:tc>
          <w:tcPr>
            <w:tcW w:w="3596" w:type="dxa"/>
          </w:tcPr>
          <w:p w14:paraId="77EA6D75" w14:textId="77777777" w:rsidR="00797305" w:rsidRPr="00907E33" w:rsidRDefault="00797305" w:rsidP="00DF1B47">
            <w:pPr>
              <w:pStyle w:val="Default"/>
              <w:rPr>
                <w:rFonts w:asciiTheme="minorHAnsi" w:hAnsiTheme="minorHAnsi" w:cstheme="minorHAnsi"/>
                <w:b/>
                <w:bCs/>
                <w:sz w:val="22"/>
                <w:szCs w:val="22"/>
              </w:rPr>
            </w:pPr>
            <w:r w:rsidRPr="00907E33">
              <w:rPr>
                <w:rFonts w:asciiTheme="minorHAnsi" w:hAnsiTheme="minorHAnsi" w:cstheme="minorHAnsi"/>
                <w:b/>
                <w:bCs/>
                <w:sz w:val="22"/>
                <w:szCs w:val="22"/>
              </w:rPr>
              <w:t>Writing Center</w:t>
            </w:r>
          </w:p>
          <w:p w14:paraId="77762BBE" w14:textId="77777777" w:rsidR="00797305" w:rsidRPr="00907E33" w:rsidRDefault="00797305" w:rsidP="00DF1B47">
            <w:pPr>
              <w:pStyle w:val="Default"/>
              <w:rPr>
                <w:rFonts w:asciiTheme="minorHAnsi" w:hAnsiTheme="minorHAnsi" w:cstheme="minorHAnsi"/>
                <w:sz w:val="22"/>
                <w:szCs w:val="22"/>
              </w:rPr>
            </w:pPr>
            <w:hyperlink r:id="rId23" w:history="1">
              <w:r w:rsidRPr="00907E33">
                <w:rPr>
                  <w:rStyle w:val="Hyperlink"/>
                  <w:rFonts w:asciiTheme="minorHAnsi" w:hAnsiTheme="minorHAnsi" w:cstheme="minorHAnsi"/>
                  <w:sz w:val="22"/>
                  <w:szCs w:val="22"/>
                </w:rPr>
                <w:t>WC@utrgv.edu</w:t>
              </w:r>
            </w:hyperlink>
            <w:r w:rsidRPr="00907E33">
              <w:rPr>
                <w:rFonts w:asciiTheme="minorHAnsi" w:hAnsiTheme="minorHAnsi" w:cstheme="minorHAnsi"/>
                <w:sz w:val="22"/>
                <w:szCs w:val="22"/>
              </w:rPr>
              <w:t xml:space="preserve"> </w:t>
            </w:r>
          </w:p>
        </w:tc>
        <w:tc>
          <w:tcPr>
            <w:tcW w:w="3597" w:type="dxa"/>
          </w:tcPr>
          <w:p w14:paraId="0B791D2D"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BUBLB 3.206</w:t>
            </w:r>
          </w:p>
          <w:p w14:paraId="4060F248"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(956) 882-7065</w:t>
            </w:r>
          </w:p>
        </w:tc>
        <w:tc>
          <w:tcPr>
            <w:tcW w:w="3597" w:type="dxa"/>
          </w:tcPr>
          <w:p w14:paraId="623B9111"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ESTAC 3.119</w:t>
            </w:r>
          </w:p>
          <w:p w14:paraId="22391C02" w14:textId="77777777" w:rsidR="00797305" w:rsidRPr="00907E33" w:rsidRDefault="00797305" w:rsidP="00DF1B47">
            <w:pPr>
              <w:pStyle w:val="Default"/>
              <w:rPr>
                <w:rFonts w:asciiTheme="minorHAnsi" w:hAnsiTheme="minorHAnsi" w:cstheme="minorHAnsi"/>
                <w:sz w:val="22"/>
                <w:szCs w:val="22"/>
              </w:rPr>
            </w:pPr>
            <w:r w:rsidRPr="00907E33">
              <w:rPr>
                <w:rFonts w:asciiTheme="minorHAnsi" w:hAnsiTheme="minorHAnsi" w:cstheme="minorHAnsi"/>
                <w:sz w:val="22"/>
                <w:szCs w:val="22"/>
              </w:rPr>
              <w:t>(956) 665-2538</w:t>
            </w:r>
          </w:p>
        </w:tc>
      </w:tr>
    </w:tbl>
    <w:p w14:paraId="514B58F2" w14:textId="1DBE71C0" w:rsidR="00855F86" w:rsidRPr="00C1502B" w:rsidRDefault="00855F86" w:rsidP="00C1502B">
      <w:pPr>
        <w:widowControl w:val="0"/>
        <w:autoSpaceDE w:val="0"/>
        <w:autoSpaceDN w:val="0"/>
        <w:adjustRightInd w:val="0"/>
        <w:rPr>
          <w:rFonts w:eastAsia="Times-Bold"/>
          <w:b/>
          <w:bCs/>
          <w:color w:val="000000"/>
        </w:rPr>
      </w:pPr>
      <w:r w:rsidRPr="00C1502B">
        <w:lastRenderedPageBreak/>
        <w:t>Math 43</w:t>
      </w:r>
      <w:r w:rsidR="00295933" w:rsidRPr="00C1502B">
        <w:t>44</w:t>
      </w:r>
      <w:r w:rsidRPr="00C1502B">
        <w:t xml:space="preserve">              Homework Assignments </w:t>
      </w: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2"/>
        <w:gridCol w:w="2558"/>
        <w:gridCol w:w="2430"/>
        <w:gridCol w:w="2700"/>
      </w:tblGrid>
      <w:tr w:rsidR="00855F86" w:rsidRPr="00C1502B" w14:paraId="514B58F7" w14:textId="77777777" w:rsidTr="003C455C">
        <w:trPr>
          <w:trHeight w:val="458"/>
        </w:trPr>
        <w:tc>
          <w:tcPr>
            <w:tcW w:w="1222" w:type="dxa"/>
          </w:tcPr>
          <w:p w14:paraId="514B58F3" w14:textId="77777777" w:rsidR="00855F86" w:rsidRPr="00C1502B" w:rsidRDefault="00855F86" w:rsidP="00C1502B">
            <w:pPr>
              <w:pStyle w:val="Heading2"/>
              <w:spacing w:before="0" w:after="0"/>
              <w:rPr>
                <w:rFonts w:ascii="Times New Roman" w:hAnsi="Times New Roman"/>
                <w:sz w:val="24"/>
                <w:szCs w:val="24"/>
              </w:rPr>
            </w:pPr>
            <w:r w:rsidRPr="00C1502B">
              <w:rPr>
                <w:rFonts w:ascii="Times New Roman" w:hAnsi="Times New Roman"/>
                <w:sz w:val="24"/>
                <w:szCs w:val="24"/>
              </w:rPr>
              <w:t>Chapter</w:t>
            </w:r>
          </w:p>
        </w:tc>
        <w:tc>
          <w:tcPr>
            <w:tcW w:w="2558" w:type="dxa"/>
          </w:tcPr>
          <w:p w14:paraId="514B58F4" w14:textId="77777777" w:rsidR="00855F86" w:rsidRPr="00C1502B" w:rsidRDefault="00855F86" w:rsidP="00C1502B">
            <w:pPr>
              <w:pStyle w:val="Heading2"/>
              <w:spacing w:before="0" w:after="0"/>
              <w:rPr>
                <w:rFonts w:ascii="Times New Roman" w:hAnsi="Times New Roman"/>
                <w:sz w:val="24"/>
                <w:szCs w:val="24"/>
              </w:rPr>
            </w:pPr>
            <w:r w:rsidRPr="00C1502B">
              <w:rPr>
                <w:rFonts w:ascii="Times New Roman" w:hAnsi="Times New Roman"/>
                <w:sz w:val="24"/>
                <w:szCs w:val="24"/>
              </w:rPr>
              <w:t>Section</w:t>
            </w:r>
          </w:p>
        </w:tc>
        <w:tc>
          <w:tcPr>
            <w:tcW w:w="2430" w:type="dxa"/>
            <w:noWrap/>
          </w:tcPr>
          <w:p w14:paraId="514B58F5" w14:textId="77777777" w:rsidR="00855F86" w:rsidRPr="00C1502B" w:rsidRDefault="00855F86" w:rsidP="00C1502B">
            <w:pPr>
              <w:pStyle w:val="Heading2"/>
              <w:spacing w:before="0" w:after="0"/>
              <w:rPr>
                <w:rFonts w:ascii="Times New Roman" w:hAnsi="Times New Roman"/>
                <w:sz w:val="24"/>
                <w:szCs w:val="24"/>
              </w:rPr>
            </w:pPr>
            <w:r w:rsidRPr="00C1502B">
              <w:rPr>
                <w:rFonts w:ascii="Times New Roman" w:hAnsi="Times New Roman"/>
                <w:sz w:val="24"/>
                <w:szCs w:val="24"/>
              </w:rPr>
              <w:t>Pages</w:t>
            </w:r>
          </w:p>
        </w:tc>
        <w:tc>
          <w:tcPr>
            <w:tcW w:w="2700" w:type="dxa"/>
          </w:tcPr>
          <w:p w14:paraId="514B58F6" w14:textId="77777777" w:rsidR="00855F86" w:rsidRPr="00C1502B" w:rsidRDefault="00855F86" w:rsidP="00C1502B">
            <w:pPr>
              <w:pStyle w:val="Heading2"/>
              <w:spacing w:before="0" w:after="0"/>
              <w:rPr>
                <w:rFonts w:ascii="Times New Roman" w:hAnsi="Times New Roman"/>
                <w:sz w:val="24"/>
                <w:szCs w:val="24"/>
              </w:rPr>
            </w:pPr>
            <w:r w:rsidRPr="00C1502B">
              <w:rPr>
                <w:rFonts w:ascii="Times New Roman" w:hAnsi="Times New Roman"/>
                <w:sz w:val="24"/>
                <w:szCs w:val="24"/>
              </w:rPr>
              <w:t>Problems</w:t>
            </w:r>
          </w:p>
        </w:tc>
      </w:tr>
      <w:tr w:rsidR="00855F86" w:rsidRPr="00C1502B" w14:paraId="514B58FC" w14:textId="77777777" w:rsidTr="003C455C">
        <w:trPr>
          <w:trHeight w:val="144"/>
        </w:trPr>
        <w:tc>
          <w:tcPr>
            <w:tcW w:w="1222" w:type="dxa"/>
          </w:tcPr>
          <w:p w14:paraId="514B58F8" w14:textId="77777777" w:rsidR="00855F86" w:rsidRPr="00C1502B" w:rsidRDefault="00855F86" w:rsidP="00C1502B">
            <w:pPr>
              <w:jc w:val="center"/>
              <w:rPr>
                <w:b/>
                <w:bCs/>
              </w:rPr>
            </w:pPr>
          </w:p>
        </w:tc>
        <w:tc>
          <w:tcPr>
            <w:tcW w:w="2558" w:type="dxa"/>
          </w:tcPr>
          <w:p w14:paraId="514B58F9" w14:textId="77777777" w:rsidR="00855F86" w:rsidRPr="00C1502B" w:rsidRDefault="00855F86" w:rsidP="00C1502B">
            <w:pPr>
              <w:jc w:val="center"/>
              <w:rPr>
                <w:b/>
                <w:bCs/>
              </w:rPr>
            </w:pPr>
          </w:p>
        </w:tc>
        <w:tc>
          <w:tcPr>
            <w:tcW w:w="2430" w:type="dxa"/>
            <w:noWrap/>
          </w:tcPr>
          <w:p w14:paraId="514B58FA" w14:textId="77777777" w:rsidR="00855F86" w:rsidRPr="00C1502B" w:rsidRDefault="00855F86" w:rsidP="00C1502B">
            <w:pPr>
              <w:jc w:val="center"/>
              <w:rPr>
                <w:b/>
                <w:bCs/>
              </w:rPr>
            </w:pPr>
          </w:p>
        </w:tc>
        <w:tc>
          <w:tcPr>
            <w:tcW w:w="2700" w:type="dxa"/>
          </w:tcPr>
          <w:p w14:paraId="514B58FB" w14:textId="77777777" w:rsidR="00855F86" w:rsidRPr="00C1502B" w:rsidRDefault="00855F86" w:rsidP="00C1502B">
            <w:pPr>
              <w:rPr>
                <w:b/>
                <w:bCs/>
              </w:rPr>
            </w:pPr>
          </w:p>
        </w:tc>
      </w:tr>
      <w:tr w:rsidR="00855F86" w:rsidRPr="00C1502B" w14:paraId="514B5901" w14:textId="77777777" w:rsidTr="003C455C">
        <w:trPr>
          <w:trHeight w:val="432"/>
        </w:trPr>
        <w:tc>
          <w:tcPr>
            <w:tcW w:w="1222" w:type="dxa"/>
          </w:tcPr>
          <w:p w14:paraId="514B58FD" w14:textId="77777777" w:rsidR="00855F86" w:rsidRPr="00C1502B" w:rsidRDefault="00855F86" w:rsidP="00C1502B">
            <w:pPr>
              <w:jc w:val="center"/>
              <w:rPr>
                <w:b/>
                <w:bCs/>
              </w:rPr>
            </w:pPr>
            <w:r w:rsidRPr="00C1502B">
              <w:rPr>
                <w:b/>
                <w:bCs/>
              </w:rPr>
              <w:t xml:space="preserve"> </w:t>
            </w:r>
          </w:p>
        </w:tc>
        <w:tc>
          <w:tcPr>
            <w:tcW w:w="2558" w:type="dxa"/>
          </w:tcPr>
          <w:p w14:paraId="514B58FE" w14:textId="77777777" w:rsidR="00855F86" w:rsidRPr="00C1502B" w:rsidRDefault="00855F86" w:rsidP="00C1502B">
            <w:pPr>
              <w:jc w:val="center"/>
              <w:rPr>
                <w:b/>
                <w:bCs/>
              </w:rPr>
            </w:pPr>
          </w:p>
        </w:tc>
        <w:tc>
          <w:tcPr>
            <w:tcW w:w="2430" w:type="dxa"/>
            <w:noWrap/>
          </w:tcPr>
          <w:p w14:paraId="514B58FF" w14:textId="77777777" w:rsidR="00855F86" w:rsidRPr="00C1502B" w:rsidRDefault="00855F86" w:rsidP="00C1502B">
            <w:pPr>
              <w:jc w:val="center"/>
              <w:rPr>
                <w:b/>
                <w:bCs/>
              </w:rPr>
            </w:pPr>
          </w:p>
        </w:tc>
        <w:tc>
          <w:tcPr>
            <w:tcW w:w="2700" w:type="dxa"/>
          </w:tcPr>
          <w:p w14:paraId="514B5900" w14:textId="77777777" w:rsidR="00855F86" w:rsidRPr="00C1502B" w:rsidRDefault="00855F86" w:rsidP="00C1502B">
            <w:pPr>
              <w:rPr>
                <w:b/>
                <w:bCs/>
              </w:rPr>
            </w:pPr>
          </w:p>
        </w:tc>
      </w:tr>
      <w:tr w:rsidR="00855F86" w:rsidRPr="00C1502B" w14:paraId="514B5906" w14:textId="77777777" w:rsidTr="003C455C">
        <w:trPr>
          <w:trHeight w:val="432"/>
        </w:trPr>
        <w:tc>
          <w:tcPr>
            <w:tcW w:w="1222" w:type="dxa"/>
          </w:tcPr>
          <w:p w14:paraId="514B5902" w14:textId="77777777" w:rsidR="00855F86" w:rsidRPr="00C1502B" w:rsidRDefault="00855F86" w:rsidP="00C1502B">
            <w:pPr>
              <w:jc w:val="center"/>
              <w:rPr>
                <w:b/>
                <w:bCs/>
              </w:rPr>
            </w:pPr>
          </w:p>
        </w:tc>
        <w:tc>
          <w:tcPr>
            <w:tcW w:w="2558" w:type="dxa"/>
          </w:tcPr>
          <w:p w14:paraId="514B5903" w14:textId="77777777" w:rsidR="00855F86" w:rsidRPr="00C1502B" w:rsidRDefault="00855F86" w:rsidP="00C1502B">
            <w:pPr>
              <w:jc w:val="center"/>
              <w:rPr>
                <w:b/>
                <w:bCs/>
              </w:rPr>
            </w:pPr>
          </w:p>
        </w:tc>
        <w:tc>
          <w:tcPr>
            <w:tcW w:w="2430" w:type="dxa"/>
            <w:noWrap/>
          </w:tcPr>
          <w:p w14:paraId="514B5904" w14:textId="77777777" w:rsidR="00855F86" w:rsidRPr="00C1502B" w:rsidRDefault="00855F86" w:rsidP="00C1502B">
            <w:pPr>
              <w:jc w:val="center"/>
              <w:rPr>
                <w:b/>
                <w:bCs/>
              </w:rPr>
            </w:pPr>
          </w:p>
        </w:tc>
        <w:tc>
          <w:tcPr>
            <w:tcW w:w="2700" w:type="dxa"/>
          </w:tcPr>
          <w:p w14:paraId="514B5905" w14:textId="77777777" w:rsidR="00855F86" w:rsidRPr="00C1502B" w:rsidRDefault="00855F86" w:rsidP="00C1502B">
            <w:pPr>
              <w:rPr>
                <w:b/>
                <w:bCs/>
              </w:rPr>
            </w:pPr>
          </w:p>
        </w:tc>
      </w:tr>
      <w:tr w:rsidR="00855F86" w:rsidRPr="00C1502B" w14:paraId="514B590B" w14:textId="77777777" w:rsidTr="003C455C">
        <w:trPr>
          <w:trHeight w:val="432"/>
        </w:trPr>
        <w:tc>
          <w:tcPr>
            <w:tcW w:w="1222" w:type="dxa"/>
          </w:tcPr>
          <w:p w14:paraId="514B5907" w14:textId="77777777" w:rsidR="00855F86" w:rsidRPr="00C1502B" w:rsidRDefault="00855F86" w:rsidP="00C1502B">
            <w:pPr>
              <w:jc w:val="center"/>
              <w:rPr>
                <w:b/>
                <w:bCs/>
              </w:rPr>
            </w:pPr>
          </w:p>
        </w:tc>
        <w:tc>
          <w:tcPr>
            <w:tcW w:w="2558" w:type="dxa"/>
          </w:tcPr>
          <w:p w14:paraId="514B5908" w14:textId="77777777" w:rsidR="00855F86" w:rsidRPr="00C1502B" w:rsidRDefault="00855F86" w:rsidP="00C1502B">
            <w:pPr>
              <w:jc w:val="center"/>
              <w:rPr>
                <w:b/>
                <w:bCs/>
              </w:rPr>
            </w:pPr>
          </w:p>
        </w:tc>
        <w:tc>
          <w:tcPr>
            <w:tcW w:w="2430" w:type="dxa"/>
            <w:noWrap/>
          </w:tcPr>
          <w:p w14:paraId="514B5909" w14:textId="77777777" w:rsidR="00855F86" w:rsidRPr="00C1502B" w:rsidRDefault="00855F86" w:rsidP="00C1502B">
            <w:pPr>
              <w:jc w:val="center"/>
              <w:rPr>
                <w:b/>
                <w:bCs/>
              </w:rPr>
            </w:pPr>
          </w:p>
        </w:tc>
        <w:tc>
          <w:tcPr>
            <w:tcW w:w="2700" w:type="dxa"/>
          </w:tcPr>
          <w:p w14:paraId="514B590A" w14:textId="77777777" w:rsidR="00855F86" w:rsidRPr="00C1502B" w:rsidRDefault="00855F86" w:rsidP="00C1502B">
            <w:pPr>
              <w:rPr>
                <w:b/>
                <w:bCs/>
              </w:rPr>
            </w:pPr>
          </w:p>
        </w:tc>
      </w:tr>
      <w:tr w:rsidR="00855F86" w:rsidRPr="00C1502B" w14:paraId="514B5910" w14:textId="77777777" w:rsidTr="003C455C">
        <w:trPr>
          <w:trHeight w:val="432"/>
        </w:trPr>
        <w:tc>
          <w:tcPr>
            <w:tcW w:w="1222" w:type="dxa"/>
          </w:tcPr>
          <w:p w14:paraId="514B590C" w14:textId="77777777" w:rsidR="00855F86" w:rsidRPr="00C1502B" w:rsidRDefault="00855F86" w:rsidP="00C1502B">
            <w:pPr>
              <w:jc w:val="center"/>
              <w:rPr>
                <w:b/>
                <w:bCs/>
              </w:rPr>
            </w:pPr>
          </w:p>
        </w:tc>
        <w:tc>
          <w:tcPr>
            <w:tcW w:w="2558" w:type="dxa"/>
          </w:tcPr>
          <w:p w14:paraId="514B590D" w14:textId="77777777" w:rsidR="00855F86" w:rsidRPr="00C1502B" w:rsidRDefault="00855F86" w:rsidP="00C1502B">
            <w:pPr>
              <w:jc w:val="center"/>
              <w:rPr>
                <w:b/>
                <w:bCs/>
              </w:rPr>
            </w:pPr>
          </w:p>
        </w:tc>
        <w:tc>
          <w:tcPr>
            <w:tcW w:w="2430" w:type="dxa"/>
            <w:noWrap/>
          </w:tcPr>
          <w:p w14:paraId="514B590E" w14:textId="77777777" w:rsidR="00855F86" w:rsidRPr="00C1502B" w:rsidRDefault="00855F86" w:rsidP="00C1502B">
            <w:pPr>
              <w:jc w:val="center"/>
              <w:rPr>
                <w:b/>
                <w:bCs/>
              </w:rPr>
            </w:pPr>
          </w:p>
        </w:tc>
        <w:tc>
          <w:tcPr>
            <w:tcW w:w="2700" w:type="dxa"/>
          </w:tcPr>
          <w:p w14:paraId="514B590F" w14:textId="77777777" w:rsidR="00855F86" w:rsidRPr="00C1502B" w:rsidRDefault="00855F86" w:rsidP="00C1502B">
            <w:pPr>
              <w:rPr>
                <w:b/>
                <w:bCs/>
              </w:rPr>
            </w:pPr>
          </w:p>
        </w:tc>
      </w:tr>
      <w:tr w:rsidR="00855F86" w:rsidRPr="00C1502B" w14:paraId="514B5915" w14:textId="77777777" w:rsidTr="003C455C">
        <w:trPr>
          <w:trHeight w:val="432"/>
        </w:trPr>
        <w:tc>
          <w:tcPr>
            <w:tcW w:w="1222" w:type="dxa"/>
          </w:tcPr>
          <w:p w14:paraId="514B5911" w14:textId="77777777" w:rsidR="00855F86" w:rsidRPr="00C1502B" w:rsidRDefault="00855F86" w:rsidP="00C1502B">
            <w:pPr>
              <w:jc w:val="center"/>
              <w:rPr>
                <w:b/>
                <w:bCs/>
              </w:rPr>
            </w:pPr>
          </w:p>
        </w:tc>
        <w:tc>
          <w:tcPr>
            <w:tcW w:w="2558" w:type="dxa"/>
          </w:tcPr>
          <w:p w14:paraId="514B5912" w14:textId="77777777" w:rsidR="00855F86" w:rsidRPr="00C1502B" w:rsidRDefault="00855F86" w:rsidP="00C1502B">
            <w:pPr>
              <w:jc w:val="center"/>
              <w:rPr>
                <w:b/>
                <w:bCs/>
              </w:rPr>
            </w:pPr>
          </w:p>
        </w:tc>
        <w:tc>
          <w:tcPr>
            <w:tcW w:w="2430" w:type="dxa"/>
            <w:noWrap/>
          </w:tcPr>
          <w:p w14:paraId="514B5913" w14:textId="77777777" w:rsidR="00855F86" w:rsidRPr="00C1502B" w:rsidRDefault="00855F86" w:rsidP="00C1502B">
            <w:pPr>
              <w:jc w:val="center"/>
              <w:rPr>
                <w:b/>
                <w:bCs/>
              </w:rPr>
            </w:pPr>
          </w:p>
        </w:tc>
        <w:tc>
          <w:tcPr>
            <w:tcW w:w="2700" w:type="dxa"/>
          </w:tcPr>
          <w:p w14:paraId="514B5914" w14:textId="77777777" w:rsidR="00855F86" w:rsidRPr="00C1502B" w:rsidRDefault="00855F86" w:rsidP="00C1502B">
            <w:pPr>
              <w:rPr>
                <w:b/>
                <w:bCs/>
              </w:rPr>
            </w:pPr>
          </w:p>
        </w:tc>
      </w:tr>
      <w:tr w:rsidR="00855F86" w:rsidRPr="00C1502B" w14:paraId="514B591A" w14:textId="77777777" w:rsidTr="003C455C">
        <w:trPr>
          <w:trHeight w:val="432"/>
        </w:trPr>
        <w:tc>
          <w:tcPr>
            <w:tcW w:w="1222" w:type="dxa"/>
          </w:tcPr>
          <w:p w14:paraId="514B5916" w14:textId="77777777" w:rsidR="00855F86" w:rsidRPr="00C1502B" w:rsidRDefault="00855F86" w:rsidP="00C1502B">
            <w:pPr>
              <w:jc w:val="center"/>
              <w:rPr>
                <w:b/>
                <w:bCs/>
              </w:rPr>
            </w:pPr>
          </w:p>
        </w:tc>
        <w:tc>
          <w:tcPr>
            <w:tcW w:w="2558" w:type="dxa"/>
          </w:tcPr>
          <w:p w14:paraId="514B5917" w14:textId="77777777" w:rsidR="00855F86" w:rsidRPr="00C1502B" w:rsidRDefault="00855F86" w:rsidP="00C1502B">
            <w:pPr>
              <w:jc w:val="center"/>
              <w:rPr>
                <w:b/>
                <w:bCs/>
              </w:rPr>
            </w:pPr>
          </w:p>
        </w:tc>
        <w:tc>
          <w:tcPr>
            <w:tcW w:w="2430" w:type="dxa"/>
            <w:noWrap/>
          </w:tcPr>
          <w:p w14:paraId="514B5918" w14:textId="77777777" w:rsidR="00855F86" w:rsidRPr="00C1502B" w:rsidRDefault="00855F86" w:rsidP="00C1502B">
            <w:pPr>
              <w:jc w:val="center"/>
              <w:rPr>
                <w:b/>
                <w:bCs/>
              </w:rPr>
            </w:pPr>
          </w:p>
        </w:tc>
        <w:tc>
          <w:tcPr>
            <w:tcW w:w="2700" w:type="dxa"/>
          </w:tcPr>
          <w:p w14:paraId="514B5919" w14:textId="77777777" w:rsidR="00855F86" w:rsidRPr="00C1502B" w:rsidRDefault="00855F86" w:rsidP="00C1502B">
            <w:pPr>
              <w:rPr>
                <w:b/>
                <w:bCs/>
              </w:rPr>
            </w:pPr>
          </w:p>
        </w:tc>
      </w:tr>
      <w:tr w:rsidR="00855F86" w:rsidRPr="00C1502B" w14:paraId="514B591F" w14:textId="77777777" w:rsidTr="00143FB9">
        <w:trPr>
          <w:trHeight w:val="449"/>
        </w:trPr>
        <w:tc>
          <w:tcPr>
            <w:tcW w:w="1222" w:type="dxa"/>
          </w:tcPr>
          <w:p w14:paraId="514B591B" w14:textId="77777777" w:rsidR="00855F86" w:rsidRPr="00C1502B" w:rsidRDefault="00855F86" w:rsidP="00C1502B">
            <w:pPr>
              <w:jc w:val="center"/>
              <w:rPr>
                <w:b/>
                <w:bCs/>
              </w:rPr>
            </w:pPr>
          </w:p>
        </w:tc>
        <w:tc>
          <w:tcPr>
            <w:tcW w:w="2558" w:type="dxa"/>
          </w:tcPr>
          <w:p w14:paraId="514B591C" w14:textId="77777777" w:rsidR="00855F86" w:rsidRPr="00C1502B" w:rsidRDefault="00855F86" w:rsidP="00C1502B">
            <w:pPr>
              <w:jc w:val="center"/>
              <w:rPr>
                <w:b/>
                <w:bCs/>
              </w:rPr>
            </w:pPr>
          </w:p>
        </w:tc>
        <w:tc>
          <w:tcPr>
            <w:tcW w:w="2430" w:type="dxa"/>
            <w:noWrap/>
          </w:tcPr>
          <w:p w14:paraId="514B591D" w14:textId="77777777" w:rsidR="00855F86" w:rsidRPr="00C1502B" w:rsidRDefault="00855F86" w:rsidP="00C1502B">
            <w:pPr>
              <w:jc w:val="center"/>
              <w:rPr>
                <w:b/>
                <w:bCs/>
              </w:rPr>
            </w:pPr>
          </w:p>
        </w:tc>
        <w:tc>
          <w:tcPr>
            <w:tcW w:w="2700" w:type="dxa"/>
          </w:tcPr>
          <w:p w14:paraId="514B591E" w14:textId="77777777" w:rsidR="00855F86" w:rsidRPr="00C1502B" w:rsidRDefault="00855F86" w:rsidP="00C1502B">
            <w:pPr>
              <w:rPr>
                <w:b/>
                <w:bCs/>
              </w:rPr>
            </w:pPr>
          </w:p>
        </w:tc>
      </w:tr>
      <w:tr w:rsidR="003C455C" w:rsidRPr="00C1502B" w14:paraId="5D520AED" w14:textId="77777777" w:rsidTr="00143FB9">
        <w:trPr>
          <w:trHeight w:val="440"/>
        </w:trPr>
        <w:tc>
          <w:tcPr>
            <w:tcW w:w="1222" w:type="dxa"/>
          </w:tcPr>
          <w:p w14:paraId="07298EF7" w14:textId="77777777" w:rsidR="003C455C" w:rsidRPr="00C1502B" w:rsidRDefault="003C455C" w:rsidP="00C1502B">
            <w:pPr>
              <w:jc w:val="center"/>
              <w:rPr>
                <w:b/>
                <w:bCs/>
              </w:rPr>
            </w:pPr>
          </w:p>
        </w:tc>
        <w:tc>
          <w:tcPr>
            <w:tcW w:w="2558" w:type="dxa"/>
          </w:tcPr>
          <w:p w14:paraId="605E5512" w14:textId="77777777" w:rsidR="003C455C" w:rsidRPr="00C1502B" w:rsidRDefault="003C455C" w:rsidP="00C1502B">
            <w:pPr>
              <w:jc w:val="center"/>
              <w:rPr>
                <w:b/>
                <w:bCs/>
              </w:rPr>
            </w:pPr>
          </w:p>
        </w:tc>
        <w:tc>
          <w:tcPr>
            <w:tcW w:w="2430" w:type="dxa"/>
            <w:noWrap/>
          </w:tcPr>
          <w:p w14:paraId="1DF28E59" w14:textId="77777777" w:rsidR="003C455C" w:rsidRPr="00C1502B" w:rsidRDefault="003C455C" w:rsidP="00C1502B">
            <w:pPr>
              <w:jc w:val="center"/>
              <w:rPr>
                <w:b/>
                <w:bCs/>
              </w:rPr>
            </w:pPr>
          </w:p>
        </w:tc>
        <w:tc>
          <w:tcPr>
            <w:tcW w:w="2700" w:type="dxa"/>
          </w:tcPr>
          <w:p w14:paraId="7D4BBB01" w14:textId="77777777" w:rsidR="003C455C" w:rsidRPr="00C1502B" w:rsidRDefault="003C455C" w:rsidP="00C1502B">
            <w:pPr>
              <w:rPr>
                <w:b/>
                <w:bCs/>
              </w:rPr>
            </w:pPr>
          </w:p>
        </w:tc>
      </w:tr>
      <w:tr w:rsidR="00855F86" w:rsidRPr="00C1502B" w14:paraId="514B5924" w14:textId="77777777" w:rsidTr="003C455C">
        <w:trPr>
          <w:trHeight w:val="432"/>
        </w:trPr>
        <w:tc>
          <w:tcPr>
            <w:tcW w:w="1222" w:type="dxa"/>
          </w:tcPr>
          <w:p w14:paraId="514B5920" w14:textId="77777777" w:rsidR="00855F86" w:rsidRPr="00C1502B" w:rsidRDefault="00855F86" w:rsidP="00C1502B">
            <w:pPr>
              <w:jc w:val="center"/>
              <w:rPr>
                <w:b/>
                <w:bCs/>
              </w:rPr>
            </w:pPr>
          </w:p>
        </w:tc>
        <w:tc>
          <w:tcPr>
            <w:tcW w:w="2558" w:type="dxa"/>
          </w:tcPr>
          <w:p w14:paraId="514B5921" w14:textId="77777777" w:rsidR="00855F86" w:rsidRPr="00C1502B" w:rsidRDefault="00855F86" w:rsidP="00C1502B">
            <w:pPr>
              <w:jc w:val="center"/>
              <w:rPr>
                <w:b/>
                <w:bCs/>
              </w:rPr>
            </w:pPr>
          </w:p>
        </w:tc>
        <w:tc>
          <w:tcPr>
            <w:tcW w:w="2430" w:type="dxa"/>
            <w:noWrap/>
          </w:tcPr>
          <w:p w14:paraId="514B5922" w14:textId="77777777" w:rsidR="00855F86" w:rsidRPr="00C1502B" w:rsidRDefault="00855F86" w:rsidP="00C1502B">
            <w:pPr>
              <w:jc w:val="center"/>
              <w:rPr>
                <w:b/>
                <w:bCs/>
              </w:rPr>
            </w:pPr>
          </w:p>
        </w:tc>
        <w:tc>
          <w:tcPr>
            <w:tcW w:w="2700" w:type="dxa"/>
          </w:tcPr>
          <w:p w14:paraId="514B5923" w14:textId="77777777" w:rsidR="00855F86" w:rsidRPr="00C1502B" w:rsidRDefault="00855F86" w:rsidP="00C1502B">
            <w:pPr>
              <w:rPr>
                <w:b/>
                <w:bCs/>
              </w:rPr>
            </w:pPr>
          </w:p>
        </w:tc>
      </w:tr>
      <w:tr w:rsidR="00855F86" w:rsidRPr="00C1502B" w14:paraId="514B5929" w14:textId="77777777" w:rsidTr="003C455C">
        <w:trPr>
          <w:trHeight w:val="432"/>
        </w:trPr>
        <w:tc>
          <w:tcPr>
            <w:tcW w:w="1222" w:type="dxa"/>
          </w:tcPr>
          <w:p w14:paraId="514B5925" w14:textId="77777777" w:rsidR="00855F86" w:rsidRPr="00C1502B" w:rsidRDefault="00855F86" w:rsidP="00C1502B">
            <w:pPr>
              <w:jc w:val="center"/>
              <w:rPr>
                <w:b/>
                <w:bCs/>
              </w:rPr>
            </w:pPr>
          </w:p>
        </w:tc>
        <w:tc>
          <w:tcPr>
            <w:tcW w:w="2558" w:type="dxa"/>
          </w:tcPr>
          <w:p w14:paraId="514B5926" w14:textId="77777777" w:rsidR="00855F86" w:rsidRPr="00C1502B" w:rsidRDefault="00855F86" w:rsidP="00C1502B">
            <w:pPr>
              <w:jc w:val="center"/>
              <w:rPr>
                <w:b/>
                <w:bCs/>
              </w:rPr>
            </w:pPr>
          </w:p>
        </w:tc>
        <w:tc>
          <w:tcPr>
            <w:tcW w:w="2430" w:type="dxa"/>
            <w:noWrap/>
          </w:tcPr>
          <w:p w14:paraId="514B5927" w14:textId="77777777" w:rsidR="00855F86" w:rsidRPr="00C1502B" w:rsidRDefault="00855F86" w:rsidP="00C1502B">
            <w:pPr>
              <w:jc w:val="center"/>
              <w:rPr>
                <w:b/>
                <w:bCs/>
              </w:rPr>
            </w:pPr>
          </w:p>
        </w:tc>
        <w:tc>
          <w:tcPr>
            <w:tcW w:w="2700" w:type="dxa"/>
          </w:tcPr>
          <w:p w14:paraId="514B5928" w14:textId="77777777" w:rsidR="00855F86" w:rsidRPr="00C1502B" w:rsidRDefault="00855F86" w:rsidP="00C1502B">
            <w:pPr>
              <w:rPr>
                <w:b/>
                <w:bCs/>
              </w:rPr>
            </w:pPr>
          </w:p>
        </w:tc>
      </w:tr>
      <w:tr w:rsidR="00855F86" w:rsidRPr="00C1502B" w14:paraId="514B592E" w14:textId="77777777" w:rsidTr="003C455C">
        <w:trPr>
          <w:trHeight w:val="432"/>
        </w:trPr>
        <w:tc>
          <w:tcPr>
            <w:tcW w:w="1222" w:type="dxa"/>
          </w:tcPr>
          <w:p w14:paraId="514B592A" w14:textId="77777777" w:rsidR="00855F86" w:rsidRPr="00C1502B" w:rsidRDefault="00855F86" w:rsidP="00C1502B">
            <w:pPr>
              <w:jc w:val="center"/>
              <w:rPr>
                <w:b/>
                <w:bCs/>
              </w:rPr>
            </w:pPr>
          </w:p>
        </w:tc>
        <w:tc>
          <w:tcPr>
            <w:tcW w:w="2558" w:type="dxa"/>
          </w:tcPr>
          <w:p w14:paraId="514B592B" w14:textId="77777777" w:rsidR="00855F86" w:rsidRPr="00C1502B" w:rsidRDefault="00855F86" w:rsidP="00C1502B">
            <w:pPr>
              <w:jc w:val="center"/>
              <w:rPr>
                <w:b/>
                <w:bCs/>
              </w:rPr>
            </w:pPr>
          </w:p>
        </w:tc>
        <w:tc>
          <w:tcPr>
            <w:tcW w:w="2430" w:type="dxa"/>
            <w:noWrap/>
          </w:tcPr>
          <w:p w14:paraId="514B592C" w14:textId="77777777" w:rsidR="00855F86" w:rsidRPr="00C1502B" w:rsidRDefault="00855F86" w:rsidP="00C1502B">
            <w:pPr>
              <w:jc w:val="center"/>
              <w:rPr>
                <w:b/>
                <w:bCs/>
              </w:rPr>
            </w:pPr>
          </w:p>
        </w:tc>
        <w:tc>
          <w:tcPr>
            <w:tcW w:w="2700" w:type="dxa"/>
          </w:tcPr>
          <w:p w14:paraId="514B592D" w14:textId="77777777" w:rsidR="00855F86" w:rsidRPr="00C1502B" w:rsidRDefault="00855F86" w:rsidP="00C1502B">
            <w:pPr>
              <w:rPr>
                <w:b/>
                <w:bCs/>
              </w:rPr>
            </w:pPr>
          </w:p>
        </w:tc>
      </w:tr>
      <w:tr w:rsidR="00855F86" w:rsidRPr="00C1502B" w14:paraId="514B5933" w14:textId="77777777" w:rsidTr="003C455C">
        <w:trPr>
          <w:trHeight w:val="432"/>
        </w:trPr>
        <w:tc>
          <w:tcPr>
            <w:tcW w:w="1222" w:type="dxa"/>
          </w:tcPr>
          <w:p w14:paraId="514B592F" w14:textId="77777777" w:rsidR="00855F86" w:rsidRPr="00C1502B" w:rsidRDefault="00855F86" w:rsidP="00C1502B">
            <w:pPr>
              <w:jc w:val="center"/>
              <w:rPr>
                <w:b/>
                <w:bCs/>
              </w:rPr>
            </w:pPr>
          </w:p>
        </w:tc>
        <w:tc>
          <w:tcPr>
            <w:tcW w:w="2558" w:type="dxa"/>
          </w:tcPr>
          <w:p w14:paraId="514B5930" w14:textId="77777777" w:rsidR="00855F86" w:rsidRPr="00C1502B" w:rsidRDefault="00855F86" w:rsidP="00C1502B">
            <w:pPr>
              <w:jc w:val="center"/>
              <w:rPr>
                <w:b/>
                <w:bCs/>
              </w:rPr>
            </w:pPr>
          </w:p>
        </w:tc>
        <w:tc>
          <w:tcPr>
            <w:tcW w:w="2430" w:type="dxa"/>
            <w:noWrap/>
          </w:tcPr>
          <w:p w14:paraId="514B5931" w14:textId="77777777" w:rsidR="00855F86" w:rsidRPr="00C1502B" w:rsidRDefault="00855F86" w:rsidP="00C1502B">
            <w:pPr>
              <w:jc w:val="center"/>
              <w:rPr>
                <w:b/>
                <w:bCs/>
              </w:rPr>
            </w:pPr>
          </w:p>
        </w:tc>
        <w:tc>
          <w:tcPr>
            <w:tcW w:w="2700" w:type="dxa"/>
          </w:tcPr>
          <w:p w14:paraId="514B5932" w14:textId="77777777" w:rsidR="00855F86" w:rsidRPr="00C1502B" w:rsidRDefault="00855F86" w:rsidP="00C1502B">
            <w:pPr>
              <w:rPr>
                <w:b/>
                <w:bCs/>
              </w:rPr>
            </w:pPr>
          </w:p>
        </w:tc>
      </w:tr>
      <w:tr w:rsidR="00855F86" w:rsidRPr="00C1502B" w14:paraId="514B5938" w14:textId="77777777" w:rsidTr="003C455C">
        <w:trPr>
          <w:trHeight w:val="432"/>
        </w:trPr>
        <w:tc>
          <w:tcPr>
            <w:tcW w:w="1222" w:type="dxa"/>
          </w:tcPr>
          <w:p w14:paraId="514B5934" w14:textId="77777777" w:rsidR="00855F86" w:rsidRPr="00C1502B" w:rsidRDefault="00855F86" w:rsidP="00C1502B">
            <w:pPr>
              <w:jc w:val="center"/>
              <w:rPr>
                <w:b/>
                <w:bCs/>
              </w:rPr>
            </w:pPr>
          </w:p>
        </w:tc>
        <w:tc>
          <w:tcPr>
            <w:tcW w:w="2558" w:type="dxa"/>
          </w:tcPr>
          <w:p w14:paraId="514B5935" w14:textId="77777777" w:rsidR="00855F86" w:rsidRPr="00C1502B" w:rsidRDefault="00855F86" w:rsidP="00C1502B">
            <w:pPr>
              <w:jc w:val="center"/>
              <w:rPr>
                <w:b/>
                <w:bCs/>
              </w:rPr>
            </w:pPr>
          </w:p>
        </w:tc>
        <w:tc>
          <w:tcPr>
            <w:tcW w:w="2430" w:type="dxa"/>
            <w:noWrap/>
          </w:tcPr>
          <w:p w14:paraId="514B5936" w14:textId="77777777" w:rsidR="00855F86" w:rsidRPr="00C1502B" w:rsidRDefault="00855F86" w:rsidP="00C1502B">
            <w:pPr>
              <w:jc w:val="center"/>
              <w:rPr>
                <w:b/>
                <w:bCs/>
              </w:rPr>
            </w:pPr>
          </w:p>
        </w:tc>
        <w:tc>
          <w:tcPr>
            <w:tcW w:w="2700" w:type="dxa"/>
          </w:tcPr>
          <w:p w14:paraId="514B5937" w14:textId="77777777" w:rsidR="00855F86" w:rsidRPr="00C1502B" w:rsidRDefault="00855F86" w:rsidP="00C1502B">
            <w:pPr>
              <w:rPr>
                <w:b/>
                <w:bCs/>
              </w:rPr>
            </w:pPr>
          </w:p>
        </w:tc>
      </w:tr>
      <w:tr w:rsidR="00855F86" w:rsidRPr="00C1502B" w14:paraId="514B593D" w14:textId="77777777" w:rsidTr="003C455C">
        <w:trPr>
          <w:trHeight w:val="432"/>
        </w:trPr>
        <w:tc>
          <w:tcPr>
            <w:tcW w:w="1222" w:type="dxa"/>
          </w:tcPr>
          <w:p w14:paraId="514B5939" w14:textId="77777777" w:rsidR="00855F86" w:rsidRPr="00C1502B" w:rsidRDefault="00855F86" w:rsidP="00C1502B">
            <w:pPr>
              <w:jc w:val="center"/>
              <w:rPr>
                <w:b/>
                <w:bCs/>
              </w:rPr>
            </w:pPr>
          </w:p>
        </w:tc>
        <w:tc>
          <w:tcPr>
            <w:tcW w:w="2558" w:type="dxa"/>
          </w:tcPr>
          <w:p w14:paraId="514B593A" w14:textId="77777777" w:rsidR="00855F86" w:rsidRPr="00C1502B" w:rsidRDefault="00855F86" w:rsidP="00C1502B">
            <w:pPr>
              <w:jc w:val="center"/>
              <w:rPr>
                <w:b/>
                <w:bCs/>
              </w:rPr>
            </w:pPr>
          </w:p>
        </w:tc>
        <w:tc>
          <w:tcPr>
            <w:tcW w:w="2430" w:type="dxa"/>
            <w:noWrap/>
          </w:tcPr>
          <w:p w14:paraId="514B593B" w14:textId="77777777" w:rsidR="00855F86" w:rsidRPr="00C1502B" w:rsidRDefault="00855F86" w:rsidP="00C1502B">
            <w:pPr>
              <w:jc w:val="center"/>
              <w:rPr>
                <w:b/>
                <w:bCs/>
              </w:rPr>
            </w:pPr>
          </w:p>
        </w:tc>
        <w:tc>
          <w:tcPr>
            <w:tcW w:w="2700" w:type="dxa"/>
          </w:tcPr>
          <w:p w14:paraId="514B593C" w14:textId="77777777" w:rsidR="00855F86" w:rsidRPr="00C1502B" w:rsidRDefault="00855F86" w:rsidP="00C1502B">
            <w:pPr>
              <w:rPr>
                <w:b/>
                <w:bCs/>
              </w:rPr>
            </w:pPr>
          </w:p>
        </w:tc>
      </w:tr>
      <w:tr w:rsidR="00855F86" w:rsidRPr="00C1502B" w14:paraId="514B5942" w14:textId="77777777" w:rsidTr="003C455C">
        <w:trPr>
          <w:trHeight w:val="432"/>
        </w:trPr>
        <w:tc>
          <w:tcPr>
            <w:tcW w:w="1222" w:type="dxa"/>
          </w:tcPr>
          <w:p w14:paraId="514B593E" w14:textId="77777777" w:rsidR="00855F86" w:rsidRPr="00C1502B" w:rsidRDefault="00855F86" w:rsidP="00C1502B">
            <w:pPr>
              <w:jc w:val="center"/>
              <w:rPr>
                <w:b/>
                <w:bCs/>
              </w:rPr>
            </w:pPr>
          </w:p>
        </w:tc>
        <w:tc>
          <w:tcPr>
            <w:tcW w:w="2558" w:type="dxa"/>
          </w:tcPr>
          <w:p w14:paraId="514B593F" w14:textId="77777777" w:rsidR="00855F86" w:rsidRPr="00C1502B" w:rsidRDefault="00855F86" w:rsidP="00C1502B">
            <w:pPr>
              <w:jc w:val="center"/>
              <w:rPr>
                <w:b/>
                <w:bCs/>
              </w:rPr>
            </w:pPr>
          </w:p>
        </w:tc>
        <w:tc>
          <w:tcPr>
            <w:tcW w:w="2430" w:type="dxa"/>
            <w:noWrap/>
          </w:tcPr>
          <w:p w14:paraId="514B5940" w14:textId="77777777" w:rsidR="00855F86" w:rsidRPr="00C1502B" w:rsidRDefault="00855F86" w:rsidP="00C1502B">
            <w:pPr>
              <w:jc w:val="center"/>
              <w:rPr>
                <w:b/>
                <w:bCs/>
              </w:rPr>
            </w:pPr>
          </w:p>
        </w:tc>
        <w:tc>
          <w:tcPr>
            <w:tcW w:w="2700" w:type="dxa"/>
          </w:tcPr>
          <w:p w14:paraId="514B5941" w14:textId="77777777" w:rsidR="00855F86" w:rsidRPr="00C1502B" w:rsidRDefault="00855F86" w:rsidP="00C1502B">
            <w:pPr>
              <w:rPr>
                <w:b/>
                <w:bCs/>
              </w:rPr>
            </w:pPr>
          </w:p>
        </w:tc>
      </w:tr>
      <w:tr w:rsidR="00855F86" w:rsidRPr="00C1502B" w14:paraId="514B5947" w14:textId="77777777" w:rsidTr="003C455C">
        <w:trPr>
          <w:trHeight w:val="432"/>
        </w:trPr>
        <w:tc>
          <w:tcPr>
            <w:tcW w:w="1222" w:type="dxa"/>
          </w:tcPr>
          <w:p w14:paraId="514B5943" w14:textId="77777777" w:rsidR="00855F86" w:rsidRPr="00C1502B" w:rsidRDefault="00855F86" w:rsidP="00C1502B">
            <w:pPr>
              <w:jc w:val="center"/>
              <w:rPr>
                <w:b/>
                <w:bCs/>
              </w:rPr>
            </w:pPr>
          </w:p>
        </w:tc>
        <w:tc>
          <w:tcPr>
            <w:tcW w:w="2558" w:type="dxa"/>
          </w:tcPr>
          <w:p w14:paraId="514B5944" w14:textId="77777777" w:rsidR="00855F86" w:rsidRPr="00C1502B" w:rsidRDefault="00855F86" w:rsidP="00C1502B">
            <w:pPr>
              <w:jc w:val="center"/>
              <w:rPr>
                <w:b/>
                <w:bCs/>
              </w:rPr>
            </w:pPr>
          </w:p>
        </w:tc>
        <w:tc>
          <w:tcPr>
            <w:tcW w:w="2430" w:type="dxa"/>
            <w:noWrap/>
          </w:tcPr>
          <w:p w14:paraId="514B5945" w14:textId="77777777" w:rsidR="00855F86" w:rsidRPr="00C1502B" w:rsidRDefault="00855F86" w:rsidP="00C1502B">
            <w:pPr>
              <w:jc w:val="center"/>
              <w:rPr>
                <w:b/>
                <w:bCs/>
              </w:rPr>
            </w:pPr>
          </w:p>
        </w:tc>
        <w:tc>
          <w:tcPr>
            <w:tcW w:w="2700" w:type="dxa"/>
          </w:tcPr>
          <w:p w14:paraId="514B5946" w14:textId="77777777" w:rsidR="00855F86" w:rsidRPr="00C1502B" w:rsidRDefault="00855F86" w:rsidP="00C1502B">
            <w:pPr>
              <w:rPr>
                <w:b/>
                <w:bCs/>
              </w:rPr>
            </w:pPr>
          </w:p>
        </w:tc>
      </w:tr>
      <w:tr w:rsidR="00855F86" w:rsidRPr="00C1502B" w14:paraId="514B594C" w14:textId="77777777" w:rsidTr="003C455C">
        <w:trPr>
          <w:trHeight w:val="432"/>
        </w:trPr>
        <w:tc>
          <w:tcPr>
            <w:tcW w:w="1222" w:type="dxa"/>
          </w:tcPr>
          <w:p w14:paraId="514B5948" w14:textId="77777777" w:rsidR="00855F86" w:rsidRPr="00C1502B" w:rsidRDefault="00855F86" w:rsidP="00C1502B">
            <w:pPr>
              <w:jc w:val="center"/>
              <w:rPr>
                <w:b/>
                <w:bCs/>
              </w:rPr>
            </w:pPr>
          </w:p>
        </w:tc>
        <w:tc>
          <w:tcPr>
            <w:tcW w:w="2558" w:type="dxa"/>
          </w:tcPr>
          <w:p w14:paraId="514B5949" w14:textId="77777777" w:rsidR="00855F86" w:rsidRPr="00C1502B" w:rsidRDefault="00855F86" w:rsidP="00C1502B">
            <w:pPr>
              <w:jc w:val="center"/>
              <w:rPr>
                <w:b/>
                <w:bCs/>
              </w:rPr>
            </w:pPr>
          </w:p>
        </w:tc>
        <w:tc>
          <w:tcPr>
            <w:tcW w:w="2430" w:type="dxa"/>
            <w:noWrap/>
          </w:tcPr>
          <w:p w14:paraId="514B594A" w14:textId="77777777" w:rsidR="00855F86" w:rsidRPr="00C1502B" w:rsidRDefault="00855F86" w:rsidP="00C1502B">
            <w:pPr>
              <w:jc w:val="center"/>
              <w:rPr>
                <w:b/>
                <w:bCs/>
              </w:rPr>
            </w:pPr>
          </w:p>
        </w:tc>
        <w:tc>
          <w:tcPr>
            <w:tcW w:w="2700" w:type="dxa"/>
          </w:tcPr>
          <w:p w14:paraId="514B594B" w14:textId="77777777" w:rsidR="00855F86" w:rsidRPr="00C1502B" w:rsidRDefault="00855F86" w:rsidP="00C1502B">
            <w:pPr>
              <w:rPr>
                <w:b/>
                <w:bCs/>
              </w:rPr>
            </w:pPr>
          </w:p>
        </w:tc>
      </w:tr>
      <w:tr w:rsidR="00855F86" w:rsidRPr="00C1502B" w14:paraId="514B5951" w14:textId="77777777" w:rsidTr="003C455C">
        <w:trPr>
          <w:trHeight w:val="432"/>
        </w:trPr>
        <w:tc>
          <w:tcPr>
            <w:tcW w:w="1222" w:type="dxa"/>
          </w:tcPr>
          <w:p w14:paraId="514B594D" w14:textId="77777777" w:rsidR="00855F86" w:rsidRPr="00C1502B" w:rsidRDefault="00855F86" w:rsidP="00C1502B">
            <w:pPr>
              <w:jc w:val="center"/>
              <w:rPr>
                <w:b/>
                <w:bCs/>
              </w:rPr>
            </w:pPr>
          </w:p>
        </w:tc>
        <w:tc>
          <w:tcPr>
            <w:tcW w:w="2558" w:type="dxa"/>
          </w:tcPr>
          <w:p w14:paraId="514B594E" w14:textId="77777777" w:rsidR="00855F86" w:rsidRPr="00C1502B" w:rsidRDefault="00855F86" w:rsidP="00C1502B">
            <w:pPr>
              <w:jc w:val="center"/>
              <w:rPr>
                <w:b/>
                <w:bCs/>
              </w:rPr>
            </w:pPr>
          </w:p>
        </w:tc>
        <w:tc>
          <w:tcPr>
            <w:tcW w:w="2430" w:type="dxa"/>
            <w:noWrap/>
          </w:tcPr>
          <w:p w14:paraId="514B594F" w14:textId="77777777" w:rsidR="00855F86" w:rsidRPr="00C1502B" w:rsidRDefault="00855F86" w:rsidP="00C1502B">
            <w:pPr>
              <w:jc w:val="center"/>
              <w:rPr>
                <w:b/>
                <w:bCs/>
              </w:rPr>
            </w:pPr>
          </w:p>
        </w:tc>
        <w:tc>
          <w:tcPr>
            <w:tcW w:w="2700" w:type="dxa"/>
          </w:tcPr>
          <w:p w14:paraId="514B5950" w14:textId="77777777" w:rsidR="00855F86" w:rsidRPr="00C1502B" w:rsidRDefault="00855F86" w:rsidP="00C1502B">
            <w:pPr>
              <w:rPr>
                <w:b/>
                <w:bCs/>
              </w:rPr>
            </w:pPr>
          </w:p>
        </w:tc>
      </w:tr>
      <w:tr w:rsidR="00855F86" w:rsidRPr="00C1502B" w14:paraId="514B5956" w14:textId="77777777" w:rsidTr="003C455C">
        <w:trPr>
          <w:trHeight w:val="432"/>
        </w:trPr>
        <w:tc>
          <w:tcPr>
            <w:tcW w:w="1222" w:type="dxa"/>
          </w:tcPr>
          <w:p w14:paraId="514B5952" w14:textId="77777777" w:rsidR="00855F86" w:rsidRPr="00C1502B" w:rsidRDefault="00855F86" w:rsidP="00C1502B">
            <w:pPr>
              <w:jc w:val="center"/>
              <w:rPr>
                <w:b/>
                <w:bCs/>
              </w:rPr>
            </w:pPr>
          </w:p>
        </w:tc>
        <w:tc>
          <w:tcPr>
            <w:tcW w:w="2558" w:type="dxa"/>
          </w:tcPr>
          <w:p w14:paraId="514B5953" w14:textId="77777777" w:rsidR="00855F86" w:rsidRPr="00C1502B" w:rsidRDefault="00855F86" w:rsidP="00C1502B">
            <w:pPr>
              <w:jc w:val="center"/>
              <w:rPr>
                <w:b/>
                <w:bCs/>
              </w:rPr>
            </w:pPr>
          </w:p>
        </w:tc>
        <w:tc>
          <w:tcPr>
            <w:tcW w:w="2430" w:type="dxa"/>
            <w:noWrap/>
          </w:tcPr>
          <w:p w14:paraId="514B5954" w14:textId="77777777" w:rsidR="00855F86" w:rsidRPr="00C1502B" w:rsidRDefault="00855F86" w:rsidP="00C1502B">
            <w:pPr>
              <w:jc w:val="center"/>
              <w:rPr>
                <w:b/>
                <w:bCs/>
              </w:rPr>
            </w:pPr>
          </w:p>
        </w:tc>
        <w:tc>
          <w:tcPr>
            <w:tcW w:w="2700" w:type="dxa"/>
          </w:tcPr>
          <w:p w14:paraId="514B5955" w14:textId="77777777" w:rsidR="00855F86" w:rsidRPr="00C1502B" w:rsidRDefault="00855F86" w:rsidP="00C1502B">
            <w:pPr>
              <w:rPr>
                <w:b/>
                <w:bCs/>
              </w:rPr>
            </w:pPr>
          </w:p>
        </w:tc>
      </w:tr>
      <w:tr w:rsidR="00855F86" w:rsidRPr="00C1502B" w14:paraId="514B596A" w14:textId="77777777" w:rsidTr="003C455C">
        <w:trPr>
          <w:trHeight w:val="432"/>
        </w:trPr>
        <w:tc>
          <w:tcPr>
            <w:tcW w:w="1222" w:type="dxa"/>
          </w:tcPr>
          <w:p w14:paraId="514B5966" w14:textId="77777777" w:rsidR="00855F86" w:rsidRPr="00C1502B" w:rsidRDefault="00855F86" w:rsidP="00C1502B">
            <w:pPr>
              <w:jc w:val="center"/>
              <w:rPr>
                <w:b/>
                <w:bCs/>
              </w:rPr>
            </w:pPr>
          </w:p>
        </w:tc>
        <w:tc>
          <w:tcPr>
            <w:tcW w:w="2558" w:type="dxa"/>
          </w:tcPr>
          <w:p w14:paraId="514B5967" w14:textId="77777777" w:rsidR="00855F86" w:rsidRPr="00C1502B" w:rsidRDefault="00855F86" w:rsidP="00C1502B">
            <w:pPr>
              <w:jc w:val="center"/>
              <w:rPr>
                <w:b/>
                <w:bCs/>
              </w:rPr>
            </w:pPr>
          </w:p>
        </w:tc>
        <w:tc>
          <w:tcPr>
            <w:tcW w:w="2430" w:type="dxa"/>
            <w:noWrap/>
          </w:tcPr>
          <w:p w14:paraId="514B5968" w14:textId="77777777" w:rsidR="00855F86" w:rsidRPr="00C1502B" w:rsidRDefault="00855F86" w:rsidP="00C1502B">
            <w:pPr>
              <w:jc w:val="center"/>
              <w:rPr>
                <w:b/>
                <w:bCs/>
              </w:rPr>
            </w:pPr>
          </w:p>
        </w:tc>
        <w:tc>
          <w:tcPr>
            <w:tcW w:w="2700" w:type="dxa"/>
          </w:tcPr>
          <w:p w14:paraId="514B5969" w14:textId="77777777" w:rsidR="00855F86" w:rsidRPr="00C1502B" w:rsidRDefault="00855F86" w:rsidP="00C1502B">
            <w:pPr>
              <w:rPr>
                <w:b/>
                <w:bCs/>
              </w:rPr>
            </w:pPr>
          </w:p>
        </w:tc>
      </w:tr>
      <w:tr w:rsidR="00855F86" w:rsidRPr="00C1502B" w14:paraId="514B5979" w14:textId="77777777" w:rsidTr="003C455C">
        <w:trPr>
          <w:trHeight w:val="432"/>
        </w:trPr>
        <w:tc>
          <w:tcPr>
            <w:tcW w:w="1222" w:type="dxa"/>
          </w:tcPr>
          <w:p w14:paraId="514B5975" w14:textId="77777777" w:rsidR="00855F86" w:rsidRPr="00C1502B" w:rsidRDefault="00855F86" w:rsidP="00C1502B">
            <w:pPr>
              <w:jc w:val="center"/>
              <w:rPr>
                <w:b/>
                <w:bCs/>
              </w:rPr>
            </w:pPr>
          </w:p>
        </w:tc>
        <w:tc>
          <w:tcPr>
            <w:tcW w:w="2558" w:type="dxa"/>
          </w:tcPr>
          <w:p w14:paraId="514B5976" w14:textId="77777777" w:rsidR="00855F86" w:rsidRPr="00C1502B" w:rsidRDefault="00855F86" w:rsidP="00C1502B">
            <w:pPr>
              <w:jc w:val="center"/>
              <w:rPr>
                <w:b/>
                <w:bCs/>
              </w:rPr>
            </w:pPr>
          </w:p>
        </w:tc>
        <w:tc>
          <w:tcPr>
            <w:tcW w:w="2430" w:type="dxa"/>
            <w:noWrap/>
          </w:tcPr>
          <w:p w14:paraId="514B5977" w14:textId="77777777" w:rsidR="00855F86" w:rsidRPr="00C1502B" w:rsidRDefault="00855F86" w:rsidP="00C1502B">
            <w:pPr>
              <w:jc w:val="center"/>
              <w:rPr>
                <w:b/>
                <w:bCs/>
              </w:rPr>
            </w:pPr>
          </w:p>
        </w:tc>
        <w:tc>
          <w:tcPr>
            <w:tcW w:w="2700" w:type="dxa"/>
          </w:tcPr>
          <w:p w14:paraId="514B5978" w14:textId="77777777" w:rsidR="00855F86" w:rsidRPr="00C1502B" w:rsidRDefault="00855F86" w:rsidP="00C1502B">
            <w:pPr>
              <w:rPr>
                <w:b/>
                <w:bCs/>
              </w:rPr>
            </w:pPr>
          </w:p>
        </w:tc>
      </w:tr>
      <w:tr w:rsidR="00143FB9" w:rsidRPr="00C1502B" w14:paraId="4A9714C8" w14:textId="77777777" w:rsidTr="003C455C">
        <w:trPr>
          <w:trHeight w:val="432"/>
        </w:trPr>
        <w:tc>
          <w:tcPr>
            <w:tcW w:w="1222" w:type="dxa"/>
          </w:tcPr>
          <w:p w14:paraId="1CE16E6D" w14:textId="77777777" w:rsidR="00143FB9" w:rsidRPr="00C1502B" w:rsidRDefault="00143FB9" w:rsidP="00C1502B">
            <w:pPr>
              <w:jc w:val="center"/>
              <w:rPr>
                <w:b/>
                <w:bCs/>
              </w:rPr>
            </w:pPr>
          </w:p>
        </w:tc>
        <w:tc>
          <w:tcPr>
            <w:tcW w:w="2558" w:type="dxa"/>
          </w:tcPr>
          <w:p w14:paraId="0F55FB41" w14:textId="77777777" w:rsidR="00143FB9" w:rsidRPr="00C1502B" w:rsidRDefault="00143FB9" w:rsidP="00C1502B">
            <w:pPr>
              <w:jc w:val="center"/>
              <w:rPr>
                <w:b/>
                <w:bCs/>
              </w:rPr>
            </w:pPr>
          </w:p>
        </w:tc>
        <w:tc>
          <w:tcPr>
            <w:tcW w:w="2430" w:type="dxa"/>
            <w:noWrap/>
          </w:tcPr>
          <w:p w14:paraId="7094B42B" w14:textId="77777777" w:rsidR="00143FB9" w:rsidRPr="00C1502B" w:rsidRDefault="00143FB9" w:rsidP="00C1502B">
            <w:pPr>
              <w:jc w:val="center"/>
              <w:rPr>
                <w:b/>
                <w:bCs/>
              </w:rPr>
            </w:pPr>
          </w:p>
        </w:tc>
        <w:tc>
          <w:tcPr>
            <w:tcW w:w="2700" w:type="dxa"/>
          </w:tcPr>
          <w:p w14:paraId="13D0C15F" w14:textId="77777777" w:rsidR="00143FB9" w:rsidRPr="00C1502B" w:rsidRDefault="00143FB9" w:rsidP="00C1502B">
            <w:pPr>
              <w:rPr>
                <w:b/>
                <w:bCs/>
              </w:rPr>
            </w:pPr>
          </w:p>
        </w:tc>
      </w:tr>
      <w:tr w:rsidR="00143FB9" w:rsidRPr="00C1502B" w14:paraId="7C7FF5A6" w14:textId="77777777" w:rsidTr="003C455C">
        <w:trPr>
          <w:trHeight w:val="432"/>
        </w:trPr>
        <w:tc>
          <w:tcPr>
            <w:tcW w:w="1222" w:type="dxa"/>
          </w:tcPr>
          <w:p w14:paraId="533DF57F" w14:textId="77777777" w:rsidR="00143FB9" w:rsidRPr="00C1502B" w:rsidRDefault="00143FB9" w:rsidP="00C1502B">
            <w:pPr>
              <w:jc w:val="center"/>
              <w:rPr>
                <w:b/>
                <w:bCs/>
              </w:rPr>
            </w:pPr>
          </w:p>
        </w:tc>
        <w:tc>
          <w:tcPr>
            <w:tcW w:w="2558" w:type="dxa"/>
          </w:tcPr>
          <w:p w14:paraId="0AFFED05" w14:textId="77777777" w:rsidR="00143FB9" w:rsidRPr="00C1502B" w:rsidRDefault="00143FB9" w:rsidP="00C1502B">
            <w:pPr>
              <w:jc w:val="center"/>
              <w:rPr>
                <w:b/>
                <w:bCs/>
              </w:rPr>
            </w:pPr>
          </w:p>
        </w:tc>
        <w:tc>
          <w:tcPr>
            <w:tcW w:w="2430" w:type="dxa"/>
            <w:noWrap/>
          </w:tcPr>
          <w:p w14:paraId="1734912A" w14:textId="77777777" w:rsidR="00143FB9" w:rsidRPr="00C1502B" w:rsidRDefault="00143FB9" w:rsidP="00C1502B">
            <w:pPr>
              <w:jc w:val="center"/>
              <w:rPr>
                <w:b/>
                <w:bCs/>
              </w:rPr>
            </w:pPr>
          </w:p>
        </w:tc>
        <w:tc>
          <w:tcPr>
            <w:tcW w:w="2700" w:type="dxa"/>
          </w:tcPr>
          <w:p w14:paraId="56B1C283" w14:textId="77777777" w:rsidR="00143FB9" w:rsidRPr="00C1502B" w:rsidRDefault="00143FB9" w:rsidP="00C1502B">
            <w:pPr>
              <w:rPr>
                <w:b/>
                <w:bCs/>
              </w:rPr>
            </w:pPr>
          </w:p>
        </w:tc>
      </w:tr>
      <w:tr w:rsidR="00143FB9" w:rsidRPr="00C1502B" w14:paraId="4BCDEDE2" w14:textId="77777777" w:rsidTr="003C455C">
        <w:trPr>
          <w:trHeight w:val="432"/>
        </w:trPr>
        <w:tc>
          <w:tcPr>
            <w:tcW w:w="1222" w:type="dxa"/>
          </w:tcPr>
          <w:p w14:paraId="33520CC4" w14:textId="77777777" w:rsidR="00143FB9" w:rsidRPr="00C1502B" w:rsidRDefault="00143FB9" w:rsidP="00C1502B">
            <w:pPr>
              <w:jc w:val="center"/>
              <w:rPr>
                <w:b/>
                <w:bCs/>
              </w:rPr>
            </w:pPr>
          </w:p>
        </w:tc>
        <w:tc>
          <w:tcPr>
            <w:tcW w:w="2558" w:type="dxa"/>
          </w:tcPr>
          <w:p w14:paraId="6DC077F8" w14:textId="77777777" w:rsidR="00143FB9" w:rsidRPr="00C1502B" w:rsidRDefault="00143FB9" w:rsidP="00C1502B">
            <w:pPr>
              <w:jc w:val="center"/>
              <w:rPr>
                <w:b/>
                <w:bCs/>
              </w:rPr>
            </w:pPr>
          </w:p>
        </w:tc>
        <w:tc>
          <w:tcPr>
            <w:tcW w:w="2430" w:type="dxa"/>
            <w:noWrap/>
          </w:tcPr>
          <w:p w14:paraId="0BC74ADA" w14:textId="77777777" w:rsidR="00143FB9" w:rsidRPr="00C1502B" w:rsidRDefault="00143FB9" w:rsidP="00C1502B">
            <w:pPr>
              <w:jc w:val="center"/>
              <w:rPr>
                <w:b/>
                <w:bCs/>
              </w:rPr>
            </w:pPr>
          </w:p>
        </w:tc>
        <w:tc>
          <w:tcPr>
            <w:tcW w:w="2700" w:type="dxa"/>
          </w:tcPr>
          <w:p w14:paraId="778F3414" w14:textId="77777777" w:rsidR="00143FB9" w:rsidRPr="00C1502B" w:rsidRDefault="00143FB9" w:rsidP="00C1502B">
            <w:pPr>
              <w:rPr>
                <w:b/>
                <w:bCs/>
              </w:rPr>
            </w:pPr>
          </w:p>
        </w:tc>
      </w:tr>
      <w:tr w:rsidR="00143FB9" w:rsidRPr="00C1502B" w14:paraId="31EF77F3" w14:textId="77777777" w:rsidTr="003C455C">
        <w:trPr>
          <w:trHeight w:val="432"/>
        </w:trPr>
        <w:tc>
          <w:tcPr>
            <w:tcW w:w="1222" w:type="dxa"/>
          </w:tcPr>
          <w:p w14:paraId="2E5BADD5" w14:textId="77777777" w:rsidR="00143FB9" w:rsidRPr="00C1502B" w:rsidRDefault="00143FB9" w:rsidP="00C1502B">
            <w:pPr>
              <w:jc w:val="center"/>
              <w:rPr>
                <w:b/>
                <w:bCs/>
              </w:rPr>
            </w:pPr>
            <w:bookmarkStart w:id="1" w:name="_GoBack"/>
            <w:bookmarkEnd w:id="1"/>
          </w:p>
        </w:tc>
        <w:tc>
          <w:tcPr>
            <w:tcW w:w="2558" w:type="dxa"/>
          </w:tcPr>
          <w:p w14:paraId="0E289A40" w14:textId="77777777" w:rsidR="00143FB9" w:rsidRPr="00C1502B" w:rsidRDefault="00143FB9" w:rsidP="00C1502B">
            <w:pPr>
              <w:jc w:val="center"/>
              <w:rPr>
                <w:b/>
                <w:bCs/>
              </w:rPr>
            </w:pPr>
          </w:p>
        </w:tc>
        <w:tc>
          <w:tcPr>
            <w:tcW w:w="2430" w:type="dxa"/>
            <w:noWrap/>
          </w:tcPr>
          <w:p w14:paraId="46B242DF" w14:textId="77777777" w:rsidR="00143FB9" w:rsidRPr="00C1502B" w:rsidRDefault="00143FB9" w:rsidP="00C1502B">
            <w:pPr>
              <w:jc w:val="center"/>
              <w:rPr>
                <w:b/>
                <w:bCs/>
              </w:rPr>
            </w:pPr>
          </w:p>
        </w:tc>
        <w:tc>
          <w:tcPr>
            <w:tcW w:w="2700" w:type="dxa"/>
          </w:tcPr>
          <w:p w14:paraId="3FBC32A3" w14:textId="77777777" w:rsidR="00143FB9" w:rsidRPr="00C1502B" w:rsidRDefault="00143FB9" w:rsidP="00C1502B">
            <w:pPr>
              <w:rPr>
                <w:b/>
                <w:bCs/>
              </w:rPr>
            </w:pPr>
          </w:p>
        </w:tc>
      </w:tr>
      <w:tr w:rsidR="00855F86" w:rsidRPr="00C1502B" w14:paraId="514B597E" w14:textId="77777777" w:rsidTr="003C455C">
        <w:trPr>
          <w:trHeight w:val="432"/>
        </w:trPr>
        <w:tc>
          <w:tcPr>
            <w:tcW w:w="1222" w:type="dxa"/>
          </w:tcPr>
          <w:p w14:paraId="514B597A" w14:textId="77777777" w:rsidR="00855F86" w:rsidRPr="00C1502B" w:rsidRDefault="00855F86" w:rsidP="00C1502B">
            <w:pPr>
              <w:jc w:val="center"/>
              <w:rPr>
                <w:b/>
                <w:bCs/>
              </w:rPr>
            </w:pPr>
          </w:p>
        </w:tc>
        <w:tc>
          <w:tcPr>
            <w:tcW w:w="2558" w:type="dxa"/>
          </w:tcPr>
          <w:p w14:paraId="514B597B" w14:textId="77777777" w:rsidR="00855F86" w:rsidRPr="00C1502B" w:rsidRDefault="00855F86" w:rsidP="00C1502B">
            <w:pPr>
              <w:jc w:val="center"/>
              <w:rPr>
                <w:b/>
                <w:bCs/>
              </w:rPr>
            </w:pPr>
          </w:p>
        </w:tc>
        <w:tc>
          <w:tcPr>
            <w:tcW w:w="2430" w:type="dxa"/>
            <w:noWrap/>
          </w:tcPr>
          <w:p w14:paraId="514B597C" w14:textId="77777777" w:rsidR="00855F86" w:rsidRPr="00C1502B" w:rsidRDefault="00855F86" w:rsidP="00C1502B">
            <w:pPr>
              <w:jc w:val="center"/>
              <w:rPr>
                <w:b/>
                <w:bCs/>
              </w:rPr>
            </w:pPr>
          </w:p>
        </w:tc>
        <w:tc>
          <w:tcPr>
            <w:tcW w:w="2700" w:type="dxa"/>
          </w:tcPr>
          <w:p w14:paraId="514B597D" w14:textId="77777777" w:rsidR="00855F86" w:rsidRPr="00C1502B" w:rsidRDefault="00855F86" w:rsidP="00C1502B">
            <w:pPr>
              <w:rPr>
                <w:b/>
                <w:bCs/>
              </w:rPr>
            </w:pPr>
          </w:p>
        </w:tc>
      </w:tr>
    </w:tbl>
    <w:p w14:paraId="514B597F" w14:textId="77777777" w:rsidR="00657DE4" w:rsidRPr="00C1502B" w:rsidRDefault="00657DE4" w:rsidP="00C1502B">
      <w:pPr>
        <w:jc w:val="both"/>
        <w:rPr>
          <w:rFonts w:eastAsia="Times-Bold"/>
          <w:b/>
          <w:bCs/>
          <w:color w:val="000000"/>
        </w:rPr>
      </w:pPr>
    </w:p>
    <w:sectPr w:rsidR="00657DE4" w:rsidRPr="00C1502B" w:rsidSect="00E621EA">
      <w:pgSz w:w="12240" w:h="15840"/>
      <w:pgMar w:top="1440" w:right="1800" w:bottom="1440" w:left="180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Bold">
    <w:altName w:val="SimSun"/>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426EE"/>
    <w:multiLevelType w:val="hybridMultilevel"/>
    <w:tmpl w:val="597C47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340E2DD3"/>
    <w:multiLevelType w:val="hybridMultilevel"/>
    <w:tmpl w:val="80281BD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8B1066"/>
    <w:multiLevelType w:val="hybridMultilevel"/>
    <w:tmpl w:val="9E92DC16"/>
    <w:lvl w:ilvl="0" w:tplc="0409000F">
      <w:start w:val="1"/>
      <w:numFmt w:val="decimal"/>
      <w:lvlText w:val="%1."/>
      <w:lvlJc w:val="left"/>
      <w:pPr>
        <w:tabs>
          <w:tab w:val="num" w:pos="420"/>
        </w:tabs>
        <w:ind w:left="420" w:hanging="420"/>
      </w:pPr>
      <w:rPr>
        <w:rFont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80B181F"/>
    <w:multiLevelType w:val="hybridMultilevel"/>
    <w:tmpl w:val="32541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B31A66"/>
    <w:multiLevelType w:val="multilevel"/>
    <w:tmpl w:val="E5C442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756F793F"/>
    <w:multiLevelType w:val="hybridMultilevel"/>
    <w:tmpl w:val="727C89E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720"/>
  <w:characterSpacingControl w:val="doNotCompress"/>
  <w:noLineBreaksAfter w:lang="zh-CN" w:val="$([{£¥·‘“〈《「『【〔〖〝﹙﹛﹝＄（．［｛￡￥"/>
  <w:noLineBreaksBefore w:lang="zh-CN" w:val="!%),.:;&gt;?]}¢¨°·ˇˉ―‖’”…‰′″›℃∶、。〃〉》」』】〕〗〞︶︺︾﹀﹄﹚﹜﹞！＂％＇），．：；？］｀｜｝～￠"/>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1EA"/>
    <w:rsid w:val="00043800"/>
    <w:rsid w:val="00044042"/>
    <w:rsid w:val="00063A77"/>
    <w:rsid w:val="000B07F0"/>
    <w:rsid w:val="000E7BFB"/>
    <w:rsid w:val="0011201E"/>
    <w:rsid w:val="00132EA0"/>
    <w:rsid w:val="00143FB9"/>
    <w:rsid w:val="00152AE9"/>
    <w:rsid w:val="001E2BA5"/>
    <w:rsid w:val="0024338E"/>
    <w:rsid w:val="00265659"/>
    <w:rsid w:val="00295933"/>
    <w:rsid w:val="00323504"/>
    <w:rsid w:val="003C455C"/>
    <w:rsid w:val="003D76F4"/>
    <w:rsid w:val="00416C12"/>
    <w:rsid w:val="00453403"/>
    <w:rsid w:val="004542B1"/>
    <w:rsid w:val="004C1697"/>
    <w:rsid w:val="00524E85"/>
    <w:rsid w:val="00526003"/>
    <w:rsid w:val="0052689E"/>
    <w:rsid w:val="005841C3"/>
    <w:rsid w:val="005C6DCB"/>
    <w:rsid w:val="005E705F"/>
    <w:rsid w:val="005F21B5"/>
    <w:rsid w:val="006045B8"/>
    <w:rsid w:val="00657DE4"/>
    <w:rsid w:val="006936F3"/>
    <w:rsid w:val="006A78B4"/>
    <w:rsid w:val="006D2463"/>
    <w:rsid w:val="006D410A"/>
    <w:rsid w:val="006E02EE"/>
    <w:rsid w:val="00735D2C"/>
    <w:rsid w:val="00737D60"/>
    <w:rsid w:val="00751BB7"/>
    <w:rsid w:val="00757984"/>
    <w:rsid w:val="00792591"/>
    <w:rsid w:val="00796FD3"/>
    <w:rsid w:val="00797305"/>
    <w:rsid w:val="00855F86"/>
    <w:rsid w:val="00857192"/>
    <w:rsid w:val="00875F39"/>
    <w:rsid w:val="00877AAD"/>
    <w:rsid w:val="00896030"/>
    <w:rsid w:val="008C2909"/>
    <w:rsid w:val="008E621D"/>
    <w:rsid w:val="00947E57"/>
    <w:rsid w:val="009522EE"/>
    <w:rsid w:val="009932D8"/>
    <w:rsid w:val="009A1A59"/>
    <w:rsid w:val="009F56A9"/>
    <w:rsid w:val="00A07E93"/>
    <w:rsid w:val="00A17F21"/>
    <w:rsid w:val="00A20E71"/>
    <w:rsid w:val="00A62D92"/>
    <w:rsid w:val="00A82B50"/>
    <w:rsid w:val="00AA6D61"/>
    <w:rsid w:val="00AE59D9"/>
    <w:rsid w:val="00AF60A5"/>
    <w:rsid w:val="00B10A7D"/>
    <w:rsid w:val="00BA3798"/>
    <w:rsid w:val="00BC042B"/>
    <w:rsid w:val="00C004AC"/>
    <w:rsid w:val="00C1502B"/>
    <w:rsid w:val="00C42802"/>
    <w:rsid w:val="00C637D4"/>
    <w:rsid w:val="00C662EA"/>
    <w:rsid w:val="00C86E6D"/>
    <w:rsid w:val="00C97F52"/>
    <w:rsid w:val="00CC3AF1"/>
    <w:rsid w:val="00CC449E"/>
    <w:rsid w:val="00CE6EF4"/>
    <w:rsid w:val="00D159DB"/>
    <w:rsid w:val="00D251AD"/>
    <w:rsid w:val="00D83905"/>
    <w:rsid w:val="00DA00A9"/>
    <w:rsid w:val="00DE177C"/>
    <w:rsid w:val="00E00953"/>
    <w:rsid w:val="00E05B70"/>
    <w:rsid w:val="00E50F15"/>
    <w:rsid w:val="00E621EA"/>
    <w:rsid w:val="00EA6AC2"/>
    <w:rsid w:val="00EB3EA0"/>
    <w:rsid w:val="00EE2779"/>
    <w:rsid w:val="00EE4E04"/>
    <w:rsid w:val="00FA2795"/>
    <w:rsid w:val="00FA59D7"/>
    <w:rsid w:val="00FE2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14B5885"/>
  <w15:docId w15:val="{2A14E9ED-3900-46A8-8F88-BCFCE004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F21"/>
    <w:rPr>
      <w:sz w:val="24"/>
      <w:szCs w:val="24"/>
    </w:rPr>
  </w:style>
  <w:style w:type="paragraph" w:styleId="Heading1">
    <w:name w:val="heading 1"/>
    <w:basedOn w:val="Normal"/>
    <w:next w:val="Normal"/>
    <w:link w:val="Heading1Char"/>
    <w:uiPriority w:val="99"/>
    <w:qFormat/>
    <w:rsid w:val="00A17F21"/>
    <w:pPr>
      <w:keepNext/>
      <w:outlineLvl w:val="0"/>
    </w:pPr>
    <w:rPr>
      <w:b/>
      <w:sz w:val="20"/>
      <w:szCs w:val="20"/>
    </w:rPr>
  </w:style>
  <w:style w:type="paragraph" w:styleId="Heading2">
    <w:name w:val="heading 2"/>
    <w:basedOn w:val="Normal"/>
    <w:next w:val="Normal"/>
    <w:link w:val="Heading2Char"/>
    <w:semiHidden/>
    <w:unhideWhenUsed/>
    <w:qFormat/>
    <w:locked/>
    <w:rsid w:val="0004380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6D61"/>
    <w:rPr>
      <w:rFonts w:cs="Times New Roman"/>
      <w:b/>
      <w:bCs/>
      <w:kern w:val="44"/>
      <w:sz w:val="44"/>
      <w:szCs w:val="44"/>
    </w:rPr>
  </w:style>
  <w:style w:type="character" w:styleId="Hyperlink">
    <w:name w:val="Hyperlink"/>
    <w:basedOn w:val="DefaultParagraphFont"/>
    <w:uiPriority w:val="99"/>
    <w:rsid w:val="00A17F21"/>
    <w:rPr>
      <w:rFonts w:cs="Times New Roman"/>
      <w:color w:val="0000FF"/>
      <w:u w:val="single"/>
    </w:rPr>
  </w:style>
  <w:style w:type="character" w:customStyle="1" w:styleId="grame">
    <w:name w:val="grame"/>
    <w:basedOn w:val="DefaultParagraphFont"/>
    <w:rsid w:val="00A17F21"/>
    <w:rPr>
      <w:rFonts w:cs="Times New Roman"/>
    </w:rPr>
  </w:style>
  <w:style w:type="character" w:customStyle="1" w:styleId="spelle">
    <w:name w:val="spelle"/>
    <w:basedOn w:val="DefaultParagraphFont"/>
    <w:uiPriority w:val="99"/>
    <w:rsid w:val="00A17F21"/>
    <w:rPr>
      <w:rFonts w:cs="Times New Roman"/>
    </w:rPr>
  </w:style>
  <w:style w:type="paragraph" w:styleId="NormalWeb">
    <w:name w:val="Normal (Web)"/>
    <w:basedOn w:val="Normal"/>
    <w:uiPriority w:val="99"/>
    <w:rsid w:val="00A17F21"/>
    <w:pPr>
      <w:spacing w:before="100" w:beforeAutospacing="1" w:after="100" w:afterAutospacing="1"/>
    </w:pPr>
  </w:style>
  <w:style w:type="character" w:styleId="Strong">
    <w:name w:val="Strong"/>
    <w:basedOn w:val="DefaultParagraphFont"/>
    <w:uiPriority w:val="99"/>
    <w:qFormat/>
    <w:locked/>
    <w:rsid w:val="00FA2795"/>
    <w:rPr>
      <w:rFonts w:cs="Times New Roman"/>
      <w:b/>
      <w:bCs/>
    </w:rPr>
  </w:style>
  <w:style w:type="character" w:customStyle="1" w:styleId="Heading2Char">
    <w:name w:val="Heading 2 Char"/>
    <w:basedOn w:val="DefaultParagraphFont"/>
    <w:link w:val="Heading2"/>
    <w:semiHidden/>
    <w:rsid w:val="00043800"/>
    <w:rPr>
      <w:rFonts w:ascii="Cambria" w:eastAsia="SimSun" w:hAnsi="Cambria" w:cs="Times New Roman"/>
      <w:b/>
      <w:bCs/>
      <w:i/>
      <w:iCs/>
      <w:kern w:val="0"/>
      <w:sz w:val="28"/>
      <w:szCs w:val="28"/>
    </w:rPr>
  </w:style>
  <w:style w:type="paragraph" w:styleId="ListParagraph">
    <w:name w:val="List Paragraph"/>
    <w:basedOn w:val="Normal"/>
    <w:uiPriority w:val="34"/>
    <w:qFormat/>
    <w:rsid w:val="009F56A9"/>
    <w:pPr>
      <w:ind w:left="720"/>
    </w:pPr>
    <w:rPr>
      <w:rFonts w:ascii="Calibri" w:eastAsiaTheme="minorEastAsia" w:hAnsi="Calibri"/>
      <w:sz w:val="22"/>
      <w:szCs w:val="22"/>
    </w:rPr>
  </w:style>
  <w:style w:type="character" w:customStyle="1" w:styleId="apple-converted-space">
    <w:name w:val="apple-converted-space"/>
    <w:basedOn w:val="DefaultParagraphFont"/>
    <w:rsid w:val="009F56A9"/>
  </w:style>
  <w:style w:type="character" w:customStyle="1" w:styleId="a-size-large">
    <w:name w:val="a-size-large"/>
    <w:basedOn w:val="DefaultParagraphFont"/>
    <w:rsid w:val="009F56A9"/>
  </w:style>
  <w:style w:type="character" w:customStyle="1" w:styleId="a-size-medium">
    <w:name w:val="a-size-medium"/>
    <w:basedOn w:val="DefaultParagraphFont"/>
    <w:rsid w:val="009F56A9"/>
  </w:style>
  <w:style w:type="character" w:customStyle="1" w:styleId="a-color-secondary">
    <w:name w:val="a-color-secondary"/>
    <w:basedOn w:val="DefaultParagraphFont"/>
    <w:rsid w:val="009F56A9"/>
  </w:style>
  <w:style w:type="character" w:styleId="UnresolvedMention">
    <w:name w:val="Unresolved Mention"/>
    <w:basedOn w:val="DefaultParagraphFont"/>
    <w:uiPriority w:val="99"/>
    <w:semiHidden/>
    <w:unhideWhenUsed/>
    <w:rsid w:val="00C86E6D"/>
    <w:rPr>
      <w:color w:val="605E5C"/>
      <w:shd w:val="clear" w:color="auto" w:fill="E1DFDD"/>
    </w:rPr>
  </w:style>
  <w:style w:type="paragraph" w:customStyle="1" w:styleId="Default">
    <w:name w:val="Default"/>
    <w:rsid w:val="00295933"/>
    <w:pPr>
      <w:autoSpaceDE w:val="0"/>
      <w:autoSpaceDN w:val="0"/>
      <w:adjustRightInd w:val="0"/>
    </w:pPr>
    <w:rPr>
      <w:rFonts w:ascii="Cambria" w:eastAsiaTheme="minorEastAsia" w:hAnsi="Cambria" w:cs="Cambria"/>
      <w:color w:val="000000"/>
      <w:sz w:val="24"/>
      <w:szCs w:val="24"/>
      <w:lang w:eastAsia="en-US"/>
    </w:rPr>
  </w:style>
  <w:style w:type="table" w:styleId="TableGrid">
    <w:name w:val="Table Grid"/>
    <w:basedOn w:val="TableNormal"/>
    <w:uiPriority w:val="39"/>
    <w:locked/>
    <w:rsid w:val="00295933"/>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6443">
      <w:marLeft w:val="0"/>
      <w:marRight w:val="0"/>
      <w:marTop w:val="0"/>
      <w:marBottom w:val="0"/>
      <w:divBdr>
        <w:top w:val="none" w:sz="0" w:space="0" w:color="auto"/>
        <w:left w:val="none" w:sz="0" w:space="0" w:color="auto"/>
        <w:bottom w:val="none" w:sz="0" w:space="0" w:color="auto"/>
        <w:right w:val="none" w:sz="0" w:space="0" w:color="auto"/>
      </w:divBdr>
    </w:div>
    <w:div w:id="6755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ijun.qiao@utrgv.edu" TargetMode="External"/><Relationship Id="rId13" Type="http://schemas.openxmlformats.org/officeDocument/2006/relationships/hyperlink" Target="mailto:oie@utrgv.edu" TargetMode="External"/><Relationship Id="rId18" Type="http://schemas.openxmlformats.org/officeDocument/2006/relationships/hyperlink" Target="mailto:CareerCenter@utrgv.edu" TargetMode="External"/><Relationship Id="rId3" Type="http://schemas.openxmlformats.org/officeDocument/2006/relationships/customXml" Target="../customXml/item3.xml"/><Relationship Id="rId21" Type="http://schemas.openxmlformats.org/officeDocument/2006/relationships/hyperlink" Target="mailto:FoodPantry@utrgv.edu" TargetMode="External"/><Relationship Id="rId7" Type="http://schemas.openxmlformats.org/officeDocument/2006/relationships/webSettings" Target="webSettings.xml"/><Relationship Id="rId12" Type="http://schemas.openxmlformats.org/officeDocument/2006/relationships/hyperlink" Target="http://my.utrgv.edu" TargetMode="External"/><Relationship Id="rId17" Type="http://schemas.openxmlformats.org/officeDocument/2006/relationships/hyperlink" Target="mailto:AcademicAdvising@utrgv.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central@utrgv.edu" TargetMode="External"/><Relationship Id="rId20" Type="http://schemas.openxmlformats.org/officeDocument/2006/relationships/hyperlink" Target="https://www.utrgv.edu/facultysuccess/_files/documents/syllabus-statement-for-counseling-12-16-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ility@utrgv.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OVAVP@utrgv.edu" TargetMode="External"/><Relationship Id="rId23" Type="http://schemas.openxmlformats.org/officeDocument/2006/relationships/hyperlink" Target="mailto:WC@utrgv.edu" TargetMode="External"/><Relationship Id="rId10" Type="http://schemas.openxmlformats.org/officeDocument/2006/relationships/hyperlink" Target="mailto:ability@utrgv.edu" TargetMode="External"/><Relationship Id="rId19" Type="http://schemas.openxmlformats.org/officeDocument/2006/relationships/hyperlink" Target="mailto:Counseling@utrgv.edu" TargetMode="External"/><Relationship Id="rId4" Type="http://schemas.openxmlformats.org/officeDocument/2006/relationships/numbering" Target="numbering.xml"/><Relationship Id="rId9" Type="http://schemas.openxmlformats.org/officeDocument/2006/relationships/hyperlink" Target="http://faculty.utrgv.edu/zhijun.qiao" TargetMode="External"/><Relationship Id="rId14" Type="http://schemas.openxmlformats.org/officeDocument/2006/relationships/hyperlink" Target="https://nam01.safelinks.protection.outlook.com/?url=http%3A%2F%2Fwww.utrgv.edu%2Fequity&amp;data=02%7C01%7Cmarissa.alaniz%40utrgv.edu%7Ccdba6e51db19402b2a0f08d7062784d4%7C990436a687df491c91249afa91f88827%7C0%7C0%7C636984639122459545&amp;sdata=5hndVru5iLHMQARX2XhtCu41F8pbn0A6sKxkK1lXYss%3D&amp;reserved=0" TargetMode="External"/><Relationship Id="rId22" Type="http://schemas.openxmlformats.org/officeDocument/2006/relationships/hyperlink" Target="mailto:LearningCenter@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B333F1F90B94787E609D77DD97BD8" ma:contentTypeVersion="33" ma:contentTypeDescription="Create a new document." ma:contentTypeScope="" ma:versionID="ea86c9d34eef3046fc94ccd15ca99c77">
  <xsd:schema xmlns:xsd="http://www.w3.org/2001/XMLSchema" xmlns:xs="http://www.w3.org/2001/XMLSchema" xmlns:p="http://schemas.microsoft.com/office/2006/metadata/properties" xmlns:ns1="http://schemas.microsoft.com/sharepoint/v3" xmlns:ns3="03c72a1e-f147-4127-917f-711f5aa5ad72" xmlns:ns4="438615da-44d1-4219-9ea6-b6f5ae9c3ebd" targetNamespace="http://schemas.microsoft.com/office/2006/metadata/properties" ma:root="true" ma:fieldsID="494faf1d556f400e11a0e74e6ff4a9a1" ns1:_="" ns3:_="" ns4:_="">
    <xsd:import namespace="http://schemas.microsoft.com/sharepoint/v3"/>
    <xsd:import namespace="03c72a1e-f147-4127-917f-711f5aa5ad72"/>
    <xsd:import namespace="438615da-44d1-4219-9ea6-b6f5ae9c3e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72a1e-f147-4127-917f-711f5aa5ad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615da-44d1-4219-9ea6-b6f5ae9c3e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03c72a1e-f147-4127-917f-711f5aa5ad72">
      <UserInfo>
        <DisplayName/>
        <AccountId xsi:nil="true"/>
        <AccountType/>
      </UserInfo>
    </Owner>
    <_ip_UnifiedCompliancePolicyUIAction xmlns="http://schemas.microsoft.com/sharepoint/v3" xsi:nil="true"/>
    <Math_Settings xmlns="03c72a1e-f147-4127-917f-711f5aa5ad72" xsi:nil="true"/>
    <Student_Groups xmlns="03c72a1e-f147-4127-917f-711f5aa5ad72">
      <UserInfo>
        <DisplayName/>
        <AccountId xsi:nil="true"/>
        <AccountType/>
      </UserInfo>
    </Student_Groups>
    <AppVersion xmlns="03c72a1e-f147-4127-917f-711f5aa5ad72" xsi:nil="true"/>
    <Invited_Students xmlns="03c72a1e-f147-4127-917f-711f5aa5ad72" xsi:nil="true"/>
    <Teachers xmlns="03c72a1e-f147-4127-917f-711f5aa5ad72">
      <UserInfo>
        <DisplayName/>
        <AccountId xsi:nil="true"/>
        <AccountType/>
      </UserInfo>
    </Teachers>
    <Students xmlns="03c72a1e-f147-4127-917f-711f5aa5ad72">
      <UserInfo>
        <DisplayName/>
        <AccountId xsi:nil="true"/>
        <AccountType/>
      </UserInfo>
    </Students>
    <_ip_UnifiedCompliancePolicyProperties xmlns="http://schemas.microsoft.com/sharepoint/v3" xsi:nil="true"/>
    <DefaultSectionNames xmlns="03c72a1e-f147-4127-917f-711f5aa5ad72" xsi:nil="true"/>
    <TeamsChannelId xmlns="03c72a1e-f147-4127-917f-711f5aa5ad72" xsi:nil="true"/>
    <FolderType xmlns="03c72a1e-f147-4127-917f-711f5aa5ad72" xsi:nil="true"/>
    <CultureName xmlns="03c72a1e-f147-4127-917f-711f5aa5ad72" xsi:nil="true"/>
    <Templates xmlns="03c72a1e-f147-4127-917f-711f5aa5ad72" xsi:nil="true"/>
    <Self_Registration_Enabled xmlns="03c72a1e-f147-4127-917f-711f5aa5ad72" xsi:nil="true"/>
    <Has_Teacher_Only_SectionGroup xmlns="03c72a1e-f147-4127-917f-711f5aa5ad72" xsi:nil="true"/>
    <Is_Collaboration_Space_Locked xmlns="03c72a1e-f147-4127-917f-711f5aa5ad72" xsi:nil="true"/>
    <Invited_Teachers xmlns="03c72a1e-f147-4127-917f-711f5aa5ad72" xsi:nil="true"/>
    <IsNotebookLocked xmlns="03c72a1e-f147-4127-917f-711f5aa5ad72" xsi:nil="true"/>
    <NotebookType xmlns="03c72a1e-f147-4127-917f-711f5aa5ad72" xsi:nil="true"/>
  </documentManagement>
</p:properties>
</file>

<file path=customXml/itemProps1.xml><?xml version="1.0" encoding="utf-8"?>
<ds:datastoreItem xmlns:ds="http://schemas.openxmlformats.org/officeDocument/2006/customXml" ds:itemID="{8CA06DCE-0360-4307-81C0-A2F4F3982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c72a1e-f147-4127-917f-711f5aa5ad72"/>
    <ds:schemaRef ds:uri="438615da-44d1-4219-9ea6-b6f5ae9c3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7AA9F-69DC-4E40-AD0D-88B2BA98B47C}">
  <ds:schemaRefs>
    <ds:schemaRef ds:uri="http://schemas.microsoft.com/sharepoint/v3/contenttype/forms"/>
  </ds:schemaRefs>
</ds:datastoreItem>
</file>

<file path=customXml/itemProps3.xml><?xml version="1.0" encoding="utf-8"?>
<ds:datastoreItem xmlns:ds="http://schemas.openxmlformats.org/officeDocument/2006/customXml" ds:itemID="{8DD3F5E0-1E44-4159-BB98-9EA091011996}">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38615da-44d1-4219-9ea6-b6f5ae9c3ebd"/>
    <ds:schemaRef ds:uri="http://schemas.microsoft.com/sharepoint/v3"/>
    <ds:schemaRef ds:uri="03c72a1e-f147-4127-917f-711f5aa5ad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MATH 2345-02 (ELEM LINEAR ALGEBRA)</vt:lpstr>
    </vt:vector>
  </TitlesOfParts>
  <Company>McAllen</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2345-02 (ELEM LINEAR ALGEBRA)</dc:title>
  <dc:creator>Zhijun Qiao</dc:creator>
  <cp:lastModifiedBy>Zhijun Qiao</cp:lastModifiedBy>
  <cp:revision>30</cp:revision>
  <cp:lastPrinted>2005-08-24T15:52:00Z</cp:lastPrinted>
  <dcterms:created xsi:type="dcterms:W3CDTF">2020-01-08T18:24:00Z</dcterms:created>
  <dcterms:modified xsi:type="dcterms:W3CDTF">2020-01-08T19:44:00Z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0x010100B14B333F1F90B94787E609D77DD97BD8</vt:lpwstr>
  </property>
</Properties>
</file>